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20CF" w:rsidRDefault="00EB20CF" w:rsidP="00EB20CF">
      <w:pPr>
        <w:rPr>
          <w:b/>
          <w:bCs/>
        </w:rPr>
      </w:pPr>
      <w:bookmarkStart w:id="0" w:name="_GoBack"/>
      <w:bookmarkEnd w:id="0"/>
      <w:r>
        <w:rPr>
          <w:b/>
          <w:bCs/>
        </w:rPr>
        <w:t>IN THE HIGH COURT OF JUSTICE                                     Claim No. KB-2024-004175</w:t>
      </w:r>
    </w:p>
    <w:p w:rsidR="00EB20CF" w:rsidRDefault="00EB20CF" w:rsidP="00EB20CF">
      <w:pPr>
        <w:rPr>
          <w:b/>
          <w:bCs/>
        </w:rPr>
      </w:pPr>
      <w:r>
        <w:rPr>
          <w:b/>
          <w:bCs/>
        </w:rPr>
        <w:t>KING’S BENCH DIVISION</w:t>
      </w:r>
    </w:p>
    <w:p w:rsidR="00EB20CF" w:rsidRDefault="00EB20CF" w:rsidP="00EB20CF">
      <w:pPr>
        <w:rPr>
          <w:b/>
          <w:bCs/>
        </w:rPr>
      </w:pPr>
    </w:p>
    <w:p w:rsidR="00EB20CF" w:rsidRPr="002331CF" w:rsidRDefault="00EB20CF" w:rsidP="00EB20CF">
      <w:pPr>
        <w:rPr>
          <w:b/>
          <w:bCs/>
          <w:spacing w:val="60"/>
        </w:rPr>
      </w:pPr>
      <w:r w:rsidRPr="002331CF">
        <w:rPr>
          <w:b/>
          <w:bCs/>
          <w:spacing w:val="60"/>
        </w:rPr>
        <w:t>BETWEEN:</w:t>
      </w:r>
    </w:p>
    <w:p w:rsidR="00EB20CF" w:rsidRDefault="00EB20CF" w:rsidP="00EB20CF">
      <w:pPr>
        <w:rPr>
          <w:b/>
          <w:bCs/>
        </w:rPr>
      </w:pPr>
    </w:p>
    <w:p w:rsidR="00EB20CF" w:rsidRDefault="00EB20CF" w:rsidP="00EB20CF">
      <w:pPr>
        <w:jc w:val="center"/>
        <w:rPr>
          <w:b/>
          <w:bCs/>
        </w:rPr>
      </w:pPr>
      <w:r>
        <w:rPr>
          <w:b/>
          <w:bCs/>
        </w:rPr>
        <w:t>TELEDYNE UK LIMITED</w:t>
      </w:r>
    </w:p>
    <w:p w:rsidR="00EB20CF" w:rsidRDefault="00EB20CF" w:rsidP="00EB20CF">
      <w:pPr>
        <w:jc w:val="center"/>
        <w:rPr>
          <w:b/>
          <w:bCs/>
        </w:rPr>
      </w:pPr>
    </w:p>
    <w:p w:rsidR="00EB20CF" w:rsidRDefault="00EB20CF" w:rsidP="00EB20CF">
      <w:pPr>
        <w:jc w:val="right"/>
        <w:rPr>
          <w:b/>
          <w:bCs/>
          <w:u w:val="single"/>
        </w:rPr>
      </w:pPr>
      <w:r>
        <w:rPr>
          <w:b/>
          <w:bCs/>
          <w:u w:val="single"/>
        </w:rPr>
        <w:t>Claimant</w:t>
      </w:r>
    </w:p>
    <w:p w:rsidR="00EB20CF" w:rsidRDefault="00EB20CF" w:rsidP="00EB20CF">
      <w:pPr>
        <w:jc w:val="right"/>
        <w:rPr>
          <w:b/>
          <w:bCs/>
          <w:u w:val="single"/>
        </w:rPr>
      </w:pPr>
    </w:p>
    <w:p w:rsidR="00EB20CF" w:rsidRDefault="00EB20CF" w:rsidP="00EB20CF">
      <w:pPr>
        <w:jc w:val="center"/>
        <w:rPr>
          <w:b/>
          <w:bCs/>
        </w:rPr>
      </w:pPr>
      <w:r>
        <w:rPr>
          <w:b/>
          <w:bCs/>
        </w:rPr>
        <w:t>-and-</w:t>
      </w:r>
    </w:p>
    <w:p w:rsidR="00EB20CF" w:rsidRDefault="00EB20CF" w:rsidP="00EB20CF">
      <w:pPr>
        <w:jc w:val="center"/>
        <w:rPr>
          <w:b/>
          <w:bCs/>
        </w:rPr>
      </w:pPr>
    </w:p>
    <w:p w:rsidR="00EB20CF" w:rsidRPr="00BD6E47" w:rsidRDefault="00EB20CF" w:rsidP="00EB20CF">
      <w:pPr>
        <w:pStyle w:val="ListParagraph"/>
        <w:numPr>
          <w:ilvl w:val="0"/>
          <w:numId w:val="12"/>
        </w:numPr>
        <w:jc w:val="center"/>
        <w:rPr>
          <w:b/>
          <w:bCs/>
        </w:rPr>
      </w:pPr>
      <w:r w:rsidRPr="00BD6E47">
        <w:rPr>
          <w:b/>
          <w:bCs/>
        </w:rPr>
        <w:t>J</w:t>
      </w:r>
      <w:r>
        <w:rPr>
          <w:b/>
          <w:bCs/>
        </w:rPr>
        <w:t>ULIAN ALLEN GAO</w:t>
      </w:r>
    </w:p>
    <w:p w:rsidR="00EB20CF" w:rsidRPr="00BD6E47" w:rsidRDefault="00EB20CF" w:rsidP="00EB20CF">
      <w:pPr>
        <w:pStyle w:val="ListParagraph"/>
        <w:jc w:val="center"/>
        <w:rPr>
          <w:b/>
          <w:bCs/>
        </w:rPr>
      </w:pPr>
    </w:p>
    <w:p w:rsidR="00EB20CF" w:rsidRPr="001E081E" w:rsidRDefault="00EB20CF" w:rsidP="00EB20CF">
      <w:pPr>
        <w:pStyle w:val="ListParagraph"/>
        <w:numPr>
          <w:ilvl w:val="0"/>
          <w:numId w:val="12"/>
        </w:numPr>
        <w:jc w:val="center"/>
        <w:rPr>
          <w:rFonts w:cs="Times New Roman"/>
          <w:b/>
          <w:bCs/>
        </w:rPr>
      </w:pPr>
      <w:r>
        <w:rPr>
          <w:b/>
          <w:bCs/>
        </w:rPr>
        <w:t>– (7) OTHER NAMED DEFENDANTS AS LISTED AT SCHEDULE 1 TO THE CLAIM FORM</w:t>
      </w:r>
    </w:p>
    <w:p w:rsidR="00EB20CF" w:rsidRPr="001E081E" w:rsidRDefault="00EB20CF" w:rsidP="00EB20CF">
      <w:pPr>
        <w:rPr>
          <w:rFonts w:cs="Times New Roman"/>
          <w:b/>
          <w:bCs/>
        </w:rPr>
      </w:pPr>
    </w:p>
    <w:p w:rsidR="00EB20CF" w:rsidRPr="00BD6E47" w:rsidRDefault="00EB20CF" w:rsidP="00EB20CF">
      <w:pPr>
        <w:pStyle w:val="ListParagraph"/>
        <w:numPr>
          <w:ilvl w:val="0"/>
          <w:numId w:val="13"/>
        </w:numPr>
        <w:rPr>
          <w:b/>
          <w:bCs/>
          <w:caps/>
        </w:rPr>
      </w:pPr>
      <w:r w:rsidRPr="00BD6E47">
        <w:rPr>
          <w:rFonts w:cs="Times New Roman"/>
          <w:b/>
          <w:bCs/>
          <w:caps/>
        </w:rPr>
        <w:t>Persons Unknown who are without the consent of the Claimant entering or remaining on land and in or on buildings on any of the sites listed in Schedule 2 to the Claim Form, those being:</w:t>
      </w:r>
    </w:p>
    <w:p w:rsidR="00EB20CF" w:rsidRPr="00BD6E47" w:rsidRDefault="00EB20CF" w:rsidP="00EB20CF">
      <w:pPr>
        <w:pStyle w:val="ListParagraph"/>
        <w:jc w:val="center"/>
        <w:rPr>
          <w:rFonts w:cs="Times New Roman"/>
          <w:b/>
          <w:bCs/>
          <w:caps/>
        </w:rPr>
      </w:pPr>
    </w:p>
    <w:p w:rsidR="00EB20CF" w:rsidRPr="00BD6E47" w:rsidRDefault="00EB20CF" w:rsidP="00EB20CF">
      <w:pPr>
        <w:pStyle w:val="ListParagraph"/>
        <w:numPr>
          <w:ilvl w:val="1"/>
          <w:numId w:val="13"/>
        </w:numPr>
        <w:ind w:left="1080"/>
        <w:jc w:val="center"/>
        <w:rPr>
          <w:b/>
          <w:bCs/>
          <w:caps/>
        </w:rPr>
      </w:pPr>
      <w:r w:rsidRPr="00BD6E47">
        <w:rPr>
          <w:rFonts w:cs="Times New Roman"/>
          <w:b/>
          <w:bCs/>
          <w:caps/>
        </w:rPr>
        <w:t>The ‘Shipley Site’ (Teledyne UK Limited, Airedale House, Acorn Park, Shipley BD17 7SW);</w:t>
      </w:r>
    </w:p>
    <w:p w:rsidR="00EB20CF" w:rsidRPr="00BD6E47" w:rsidRDefault="00EB20CF" w:rsidP="00EB20CF">
      <w:pPr>
        <w:pStyle w:val="ListParagraph"/>
        <w:jc w:val="center"/>
        <w:rPr>
          <w:b/>
          <w:bCs/>
          <w:caps/>
        </w:rPr>
      </w:pPr>
    </w:p>
    <w:p w:rsidR="00EB20CF" w:rsidRPr="00BD6E47" w:rsidRDefault="00EB20CF" w:rsidP="00EB20CF">
      <w:pPr>
        <w:pStyle w:val="ListParagraph"/>
        <w:numPr>
          <w:ilvl w:val="1"/>
          <w:numId w:val="13"/>
        </w:numPr>
        <w:ind w:left="1080"/>
        <w:jc w:val="center"/>
        <w:rPr>
          <w:b/>
          <w:bCs/>
          <w:caps/>
        </w:rPr>
      </w:pPr>
      <w:r w:rsidRPr="00BD6E47">
        <w:rPr>
          <w:rFonts w:cs="Times New Roman"/>
          <w:b/>
          <w:bCs/>
          <w:caps/>
        </w:rPr>
        <w:t>The ‘Lincoln Site’ (Teledyne UK Limited, 168 Sadle</w:t>
      </w:r>
      <w:r>
        <w:rPr>
          <w:rFonts w:cs="Times New Roman"/>
          <w:b/>
          <w:bCs/>
          <w:caps/>
        </w:rPr>
        <w:t>R</w:t>
      </w:r>
      <w:r w:rsidRPr="00BD6E47">
        <w:rPr>
          <w:rFonts w:cs="Times New Roman"/>
          <w:b/>
          <w:bCs/>
          <w:caps/>
        </w:rPr>
        <w:t xml:space="preserve"> Road, Lincoln LN6 3RS);</w:t>
      </w:r>
    </w:p>
    <w:p w:rsidR="00EB20CF" w:rsidRPr="00BD6E47" w:rsidRDefault="00EB20CF" w:rsidP="00EB20CF">
      <w:pPr>
        <w:pStyle w:val="ListParagraph"/>
        <w:ind w:left="0"/>
        <w:jc w:val="center"/>
        <w:rPr>
          <w:rFonts w:cs="Times New Roman"/>
          <w:b/>
          <w:bCs/>
          <w:caps/>
        </w:rPr>
      </w:pPr>
    </w:p>
    <w:p w:rsidR="00EB20CF" w:rsidRPr="00BD6E47" w:rsidRDefault="00EB20CF" w:rsidP="00EB20CF">
      <w:pPr>
        <w:pStyle w:val="ListParagraph"/>
        <w:numPr>
          <w:ilvl w:val="1"/>
          <w:numId w:val="13"/>
        </w:numPr>
        <w:ind w:left="1080"/>
        <w:jc w:val="center"/>
        <w:rPr>
          <w:b/>
          <w:bCs/>
          <w:caps/>
        </w:rPr>
      </w:pPr>
      <w:r w:rsidRPr="00BD6E47">
        <w:rPr>
          <w:rFonts w:cs="Times New Roman"/>
          <w:b/>
          <w:bCs/>
          <w:caps/>
        </w:rPr>
        <w:t>The ‘Wirral Site’ (Teledyne UK Limited, Unit A, 6 Tebay Road, Bromborough, Birkenhead, Wirral CH62 3PA);</w:t>
      </w:r>
    </w:p>
    <w:p w:rsidR="00EB20CF" w:rsidRPr="00BD6E47" w:rsidRDefault="00EB20CF" w:rsidP="00EB20CF">
      <w:pPr>
        <w:pStyle w:val="ListParagraph"/>
        <w:ind w:left="0"/>
        <w:jc w:val="center"/>
        <w:rPr>
          <w:rFonts w:cs="Times New Roman"/>
          <w:b/>
          <w:bCs/>
          <w:caps/>
        </w:rPr>
      </w:pPr>
    </w:p>
    <w:p w:rsidR="00EB20CF" w:rsidRPr="00BD6E47" w:rsidRDefault="00EB20CF" w:rsidP="00EB20CF">
      <w:pPr>
        <w:pStyle w:val="ListParagraph"/>
        <w:numPr>
          <w:ilvl w:val="1"/>
          <w:numId w:val="13"/>
        </w:numPr>
        <w:ind w:left="1080"/>
        <w:jc w:val="center"/>
        <w:rPr>
          <w:b/>
          <w:bCs/>
          <w:caps/>
        </w:rPr>
      </w:pPr>
      <w:r w:rsidRPr="00BD6E47">
        <w:rPr>
          <w:rFonts w:cs="Times New Roman"/>
          <w:b/>
          <w:bCs/>
          <w:caps/>
        </w:rPr>
        <w:t>The ‘Chelmsford Site’ (Teledyne UK Limited</w:t>
      </w:r>
      <w:r>
        <w:rPr>
          <w:rFonts w:cs="Times New Roman"/>
          <w:b/>
          <w:bCs/>
          <w:caps/>
        </w:rPr>
        <w:t>,</w:t>
      </w:r>
      <w:r w:rsidRPr="00BD6E47">
        <w:rPr>
          <w:rFonts w:cs="Times New Roman"/>
          <w:b/>
          <w:bCs/>
          <w:caps/>
        </w:rPr>
        <w:t xml:space="preserve"> 106 Waterhouse Lane, Chelmsford CM1 2QU);</w:t>
      </w:r>
    </w:p>
    <w:p w:rsidR="00EB20CF" w:rsidRPr="00BD6E47" w:rsidRDefault="00EB20CF" w:rsidP="00EB20CF">
      <w:pPr>
        <w:pStyle w:val="ListParagraph"/>
        <w:ind w:left="0"/>
        <w:jc w:val="center"/>
        <w:rPr>
          <w:rFonts w:cs="Times New Roman"/>
          <w:b/>
          <w:bCs/>
          <w:caps/>
        </w:rPr>
      </w:pPr>
    </w:p>
    <w:p w:rsidR="00EB20CF" w:rsidRPr="00BD6E47" w:rsidRDefault="00EB20CF" w:rsidP="00EB20CF">
      <w:pPr>
        <w:pStyle w:val="ListParagraph"/>
        <w:numPr>
          <w:ilvl w:val="1"/>
          <w:numId w:val="13"/>
        </w:numPr>
        <w:ind w:left="1080"/>
        <w:jc w:val="center"/>
        <w:rPr>
          <w:b/>
          <w:bCs/>
          <w:caps/>
        </w:rPr>
      </w:pPr>
      <w:r w:rsidRPr="00BD6E47">
        <w:rPr>
          <w:rFonts w:cs="Times New Roman"/>
          <w:b/>
          <w:bCs/>
          <w:caps/>
        </w:rPr>
        <w:t>The ‘Presteigne Site’ (Teledyne UK Limited, Broadaxe Business Park, Presteigne LD8 2UH); and</w:t>
      </w:r>
    </w:p>
    <w:p w:rsidR="00EB20CF" w:rsidRPr="00BD6E47" w:rsidRDefault="00EB20CF" w:rsidP="00EB20CF">
      <w:pPr>
        <w:pStyle w:val="ListParagraph"/>
        <w:ind w:left="0"/>
        <w:jc w:val="center"/>
        <w:rPr>
          <w:rFonts w:cs="Times New Roman"/>
          <w:b/>
          <w:bCs/>
          <w:caps/>
        </w:rPr>
      </w:pPr>
    </w:p>
    <w:p w:rsidR="00EB20CF" w:rsidRPr="00BD6E47" w:rsidRDefault="00EB20CF" w:rsidP="00EB20CF">
      <w:pPr>
        <w:pStyle w:val="ListParagraph"/>
        <w:numPr>
          <w:ilvl w:val="1"/>
          <w:numId w:val="13"/>
        </w:numPr>
        <w:ind w:left="1080"/>
        <w:jc w:val="center"/>
        <w:rPr>
          <w:b/>
          <w:bCs/>
          <w:caps/>
        </w:rPr>
      </w:pPr>
      <w:r w:rsidRPr="00BD6E47">
        <w:rPr>
          <w:rFonts w:cs="Times New Roman"/>
          <w:b/>
          <w:bCs/>
          <w:caps/>
        </w:rPr>
        <w:t>The ‘Newbury Site’ (Teledyne UK Limited, Reynolds Navigation House, Canal View Road, Newbury RG14 5UR).</w:t>
      </w:r>
    </w:p>
    <w:p w:rsidR="00EB20CF" w:rsidRPr="00BD6E47" w:rsidRDefault="00EB20CF" w:rsidP="00EB20CF">
      <w:pPr>
        <w:pStyle w:val="ListParagraph"/>
        <w:jc w:val="center"/>
        <w:rPr>
          <w:rFonts w:cs="Times New Roman"/>
          <w:b/>
          <w:bCs/>
          <w:caps/>
        </w:rPr>
      </w:pPr>
    </w:p>
    <w:p w:rsidR="00EB20CF" w:rsidRPr="00BD6E47" w:rsidRDefault="00EB20CF" w:rsidP="00EB20CF">
      <w:pPr>
        <w:pStyle w:val="ListParagraph"/>
        <w:numPr>
          <w:ilvl w:val="0"/>
          <w:numId w:val="13"/>
        </w:numPr>
        <w:jc w:val="center"/>
        <w:rPr>
          <w:b/>
          <w:bCs/>
          <w:caps/>
        </w:rPr>
      </w:pPr>
      <w:r w:rsidRPr="00BD6E47">
        <w:rPr>
          <w:rFonts w:cs="Times New Roman"/>
          <w:b/>
          <w:bCs/>
          <w:caps/>
        </w:rPr>
        <w:t>Persons Unknown who for the purpose of protesting are obstructing any vehicle accessing the ‘Shipley Site’ (Teledyne UK Limited, Airedale House, Acorn Park, Shipley BD17 7SW) from the highway</w:t>
      </w:r>
    </w:p>
    <w:p w:rsidR="00EB20CF" w:rsidRPr="00BD6E47" w:rsidRDefault="00EB20CF" w:rsidP="00EB20CF">
      <w:pPr>
        <w:pStyle w:val="ListParagraph"/>
        <w:jc w:val="center"/>
        <w:rPr>
          <w:rFonts w:cs="Times New Roman"/>
          <w:b/>
          <w:bCs/>
        </w:rPr>
      </w:pPr>
    </w:p>
    <w:p w:rsidR="00EB20CF" w:rsidRPr="00BD6E47" w:rsidRDefault="00EB20CF" w:rsidP="00EB20CF">
      <w:pPr>
        <w:pStyle w:val="ListParagraph"/>
        <w:numPr>
          <w:ilvl w:val="0"/>
          <w:numId w:val="13"/>
        </w:numPr>
        <w:jc w:val="center"/>
        <w:rPr>
          <w:b/>
          <w:bCs/>
          <w:caps/>
        </w:rPr>
      </w:pPr>
      <w:r w:rsidRPr="00BD6E47">
        <w:rPr>
          <w:rFonts w:cs="Times New Roman"/>
          <w:b/>
          <w:bCs/>
          <w:caps/>
        </w:rPr>
        <w:t>Persons Unknown who for the purpose of protesting are obstructing any vehicle accessing the highway from the ‘Shipley Site’ (Teledyne UK Limited, Airedale House, Acorn Park, Shipley BD17 7SW)</w:t>
      </w:r>
    </w:p>
    <w:p w:rsidR="00EB20CF" w:rsidRPr="00BD6E47" w:rsidRDefault="00EB20CF" w:rsidP="00EB20CF">
      <w:pPr>
        <w:jc w:val="center"/>
        <w:rPr>
          <w:b/>
          <w:bCs/>
          <w:caps/>
        </w:rPr>
      </w:pPr>
    </w:p>
    <w:p w:rsidR="00EB20CF" w:rsidRPr="001E081E" w:rsidRDefault="00EB20CF" w:rsidP="00EB20CF">
      <w:pPr>
        <w:pStyle w:val="ListParagraph"/>
        <w:numPr>
          <w:ilvl w:val="0"/>
          <w:numId w:val="13"/>
        </w:numPr>
        <w:jc w:val="center"/>
        <w:rPr>
          <w:b/>
          <w:bCs/>
          <w:caps/>
        </w:rPr>
      </w:pPr>
      <w:r w:rsidRPr="00BD6E47">
        <w:rPr>
          <w:rFonts w:cs="Times New Roman"/>
          <w:b/>
          <w:bCs/>
          <w:caps/>
        </w:rPr>
        <w:lastRenderedPageBreak/>
        <w:t>Persons Unknown who for the purpose of protesting are causing the blocking, slowing down, obstructing or otherwise interfering with the free flow of traffic on to, off or along the roads listed at Schedule 3 to the Claim Form</w:t>
      </w:r>
    </w:p>
    <w:p w:rsidR="00EB20CF" w:rsidRPr="001E081E" w:rsidRDefault="00EB20CF" w:rsidP="00EB20CF">
      <w:pPr>
        <w:pStyle w:val="ListParagraph"/>
        <w:rPr>
          <w:b/>
          <w:bCs/>
          <w:caps/>
        </w:rPr>
      </w:pPr>
    </w:p>
    <w:p w:rsidR="00EB20CF" w:rsidRDefault="00EB20CF" w:rsidP="00EB20CF">
      <w:pPr>
        <w:pStyle w:val="ListParagraph"/>
        <w:ind w:left="1080"/>
        <w:jc w:val="center"/>
        <w:rPr>
          <w:b/>
          <w:bCs/>
        </w:rPr>
      </w:pPr>
      <w:r>
        <w:rPr>
          <w:b/>
          <w:bCs/>
          <w:caps/>
        </w:rPr>
        <w:t xml:space="preserve">(12) – (20) OTHER NAMED DEFENDANTS </w:t>
      </w:r>
      <w:r>
        <w:rPr>
          <w:b/>
          <w:bCs/>
        </w:rPr>
        <w:t>AS LISTED AT SCHEDULE 1 TO THE CLAIM FORM</w:t>
      </w:r>
    </w:p>
    <w:p w:rsidR="00EB20CF" w:rsidRDefault="00EB20CF" w:rsidP="00EB20CF">
      <w:pPr>
        <w:rPr>
          <w:b/>
          <w:bCs/>
          <w:u w:val="single"/>
        </w:rPr>
      </w:pPr>
    </w:p>
    <w:p w:rsidR="00EB20CF" w:rsidRDefault="00EB20CF" w:rsidP="00EB20CF">
      <w:pPr>
        <w:jc w:val="right"/>
        <w:rPr>
          <w:b/>
          <w:bCs/>
          <w:u w:val="single"/>
        </w:rPr>
      </w:pPr>
      <w:r>
        <w:rPr>
          <w:b/>
          <w:bCs/>
          <w:u w:val="single"/>
        </w:rPr>
        <w:t>Defendants</w:t>
      </w:r>
    </w:p>
    <w:p w:rsidR="00EB20CF" w:rsidRDefault="00EB20CF" w:rsidP="00EB20CF">
      <w:pPr>
        <w:jc w:val="right"/>
        <w:rPr>
          <w:b/>
          <w:bCs/>
          <w:u w:val="single"/>
        </w:rPr>
      </w:pPr>
    </w:p>
    <w:p w:rsidR="00EB20CF" w:rsidRDefault="00EB20CF" w:rsidP="00EB20CF">
      <w:pPr>
        <w:jc w:val="center"/>
        <w:rPr>
          <w:b/>
          <w:bCs/>
          <w:u w:val="single"/>
        </w:rPr>
      </w:pP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rsidR="00EB20CF" w:rsidRDefault="00EB20CF" w:rsidP="00EB20CF">
      <w:pPr>
        <w:jc w:val="center"/>
        <w:rPr>
          <w:b/>
          <w:bCs/>
          <w:u w:val="single"/>
        </w:rPr>
      </w:pPr>
    </w:p>
    <w:p w:rsidR="00EB20CF" w:rsidRDefault="00EB20CF" w:rsidP="00EB20CF">
      <w:pPr>
        <w:jc w:val="center"/>
        <w:rPr>
          <w:b/>
          <w:bCs/>
        </w:rPr>
      </w:pPr>
      <w:r>
        <w:rPr>
          <w:b/>
          <w:bCs/>
        </w:rPr>
        <w:t>CLAIMANT’S SKELETON ARGUMENT</w:t>
      </w:r>
    </w:p>
    <w:p w:rsidR="00EB20CF" w:rsidRPr="00E97220" w:rsidRDefault="00EB20CF" w:rsidP="00EB20CF">
      <w:pPr>
        <w:jc w:val="center"/>
        <w:rPr>
          <w:i/>
          <w:iCs/>
        </w:rPr>
      </w:pPr>
      <w:r>
        <w:rPr>
          <w:i/>
          <w:iCs/>
        </w:rPr>
        <w:t>for the review hearing listed on 21 July 2026 t/e ½ day</w:t>
      </w:r>
    </w:p>
    <w:p w:rsidR="00EB20CF" w:rsidRDefault="00EB20CF" w:rsidP="00EB20CF">
      <w:pPr>
        <w:jc w:val="center"/>
        <w:rPr>
          <w:b/>
          <w:bCs/>
          <w:u w:val="single"/>
        </w:rPr>
      </w:pP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rsidR="00620F05" w:rsidRDefault="00620F05"/>
    <w:p w:rsidR="00620F05" w:rsidRDefault="00620F05">
      <w:pPr>
        <w:rPr>
          <w:b/>
          <w:bCs/>
          <w:u w:val="single"/>
        </w:rPr>
      </w:pPr>
    </w:p>
    <w:p w:rsidR="00620F05" w:rsidRPr="00620F05" w:rsidRDefault="00620F05">
      <w:pPr>
        <w:rPr>
          <w:b/>
          <w:bCs/>
          <w:u w:val="single"/>
        </w:rPr>
      </w:pPr>
      <w:r>
        <w:rPr>
          <w:b/>
          <w:bCs/>
          <w:u w:val="single"/>
        </w:rPr>
        <w:t>Bundle references</w:t>
      </w:r>
    </w:p>
    <w:p w:rsidR="00620F05" w:rsidRDefault="00620F05"/>
    <w:p w:rsidR="00620F05" w:rsidRDefault="00620F05">
      <w:pPr>
        <w:rPr>
          <w:b/>
          <w:bCs/>
        </w:rPr>
      </w:pPr>
      <w:r>
        <w:t xml:space="preserve">References to the Application Bundle are in the format </w:t>
      </w:r>
      <w:r>
        <w:rPr>
          <w:b/>
          <w:bCs/>
        </w:rPr>
        <w:t>[page number]</w:t>
      </w:r>
    </w:p>
    <w:p w:rsidR="00620F05" w:rsidRDefault="00620F05">
      <w:pPr>
        <w:rPr>
          <w:b/>
          <w:bCs/>
        </w:rPr>
      </w:pPr>
    </w:p>
    <w:p w:rsidR="00620F05" w:rsidRDefault="00620F05">
      <w:r>
        <w:t>An additional bundle containing all earlier witness statements in the proceedings has also been filed</w:t>
      </w:r>
    </w:p>
    <w:p w:rsidR="00620F05" w:rsidRDefault="00620F05"/>
    <w:p w:rsidR="00620F05" w:rsidRDefault="00620F05"/>
    <w:p w:rsidR="00620F05" w:rsidRDefault="00620F05">
      <w:pPr>
        <w:rPr>
          <w:b/>
          <w:bCs/>
          <w:u w:val="single"/>
        </w:rPr>
      </w:pPr>
      <w:r>
        <w:rPr>
          <w:b/>
          <w:bCs/>
          <w:u w:val="single"/>
        </w:rPr>
        <w:t>Suggested essential pre-reading</w:t>
      </w:r>
    </w:p>
    <w:p w:rsidR="00620F05" w:rsidRDefault="00620F05">
      <w:pPr>
        <w:rPr>
          <w:b/>
          <w:bCs/>
          <w:u w:val="single"/>
        </w:rPr>
      </w:pPr>
    </w:p>
    <w:p w:rsidR="00620F05" w:rsidRPr="00620F05" w:rsidRDefault="00620F05" w:rsidP="00620F05">
      <w:pPr>
        <w:pStyle w:val="ListParagraph"/>
        <w:numPr>
          <w:ilvl w:val="0"/>
          <w:numId w:val="3"/>
        </w:numPr>
        <w:rPr>
          <w:b/>
          <w:bCs/>
          <w:u w:val="single"/>
        </w:rPr>
      </w:pPr>
      <w:r>
        <w:t>Injunction Order dated 25 July 2025</w:t>
      </w:r>
    </w:p>
    <w:p w:rsidR="00620F05" w:rsidRPr="00620F05" w:rsidRDefault="00620F05" w:rsidP="00620F05">
      <w:pPr>
        <w:pStyle w:val="ListParagraph"/>
        <w:numPr>
          <w:ilvl w:val="0"/>
          <w:numId w:val="3"/>
        </w:numPr>
        <w:rPr>
          <w:b/>
          <w:bCs/>
          <w:u w:val="single"/>
        </w:rPr>
      </w:pPr>
      <w:r>
        <w:t>Application Notice dated 25 June 2026</w:t>
      </w:r>
    </w:p>
    <w:p w:rsidR="00620F05" w:rsidRPr="00620F05" w:rsidRDefault="00620F05" w:rsidP="00620F05">
      <w:pPr>
        <w:pStyle w:val="ListParagraph"/>
        <w:numPr>
          <w:ilvl w:val="0"/>
          <w:numId w:val="3"/>
        </w:numPr>
        <w:rPr>
          <w:b/>
          <w:bCs/>
          <w:u w:val="single"/>
        </w:rPr>
      </w:pPr>
      <w:r>
        <w:t>Fifth witness statement of Nicholas James Wargent</w:t>
      </w:r>
    </w:p>
    <w:p w:rsidR="00620F05" w:rsidRPr="00E20BA0" w:rsidRDefault="00620F05" w:rsidP="00620F05">
      <w:pPr>
        <w:pStyle w:val="ListParagraph"/>
        <w:numPr>
          <w:ilvl w:val="0"/>
          <w:numId w:val="3"/>
        </w:numPr>
        <w:rPr>
          <w:b/>
          <w:bCs/>
          <w:u w:val="single"/>
        </w:rPr>
      </w:pPr>
      <w:r>
        <w:rPr>
          <w:i/>
          <w:iCs/>
        </w:rPr>
        <w:t xml:space="preserve">Teledyne UK Limited v Gao &amp; Ors </w:t>
      </w:r>
      <w:r>
        <w:t>[2025] EWHC 2050 (KB)</w:t>
      </w:r>
    </w:p>
    <w:p w:rsidR="00E20BA0" w:rsidRDefault="00E20BA0" w:rsidP="00E20BA0"/>
    <w:p w:rsidR="00E20BA0" w:rsidRDefault="00E20BA0" w:rsidP="00E20BA0"/>
    <w:p w:rsidR="00E20BA0" w:rsidRDefault="00E20BA0" w:rsidP="00431532">
      <w:pPr>
        <w:spacing w:line="360" w:lineRule="auto"/>
        <w:rPr>
          <w:b/>
          <w:bCs/>
          <w:u w:val="single"/>
        </w:rPr>
      </w:pPr>
      <w:r>
        <w:rPr>
          <w:b/>
          <w:bCs/>
          <w:u w:val="single"/>
        </w:rPr>
        <w:t>INTRODUCTION</w:t>
      </w:r>
    </w:p>
    <w:p w:rsidR="00E20BA0" w:rsidRDefault="00E20BA0" w:rsidP="00431532">
      <w:pPr>
        <w:spacing w:line="360" w:lineRule="auto"/>
        <w:rPr>
          <w:b/>
          <w:bCs/>
          <w:u w:val="single"/>
        </w:rPr>
      </w:pPr>
    </w:p>
    <w:p w:rsidR="009E24C5" w:rsidRDefault="00E20BA0" w:rsidP="00431532">
      <w:pPr>
        <w:pStyle w:val="ListParagraph"/>
        <w:numPr>
          <w:ilvl w:val="0"/>
          <w:numId w:val="4"/>
        </w:numPr>
        <w:spacing w:line="360" w:lineRule="auto"/>
        <w:jc w:val="both"/>
      </w:pPr>
      <w:r>
        <w:t xml:space="preserve">This </w:t>
      </w:r>
      <w:r w:rsidR="009E24C5">
        <w:t xml:space="preserve">hearing is listed pursuant to paragraph 7 of the Order made by Richard Wright KC (sitting as a Deputy Judge of the High Court) on 25 July 2025 (the </w:t>
      </w:r>
      <w:r w:rsidR="009E24C5">
        <w:rPr>
          <w:b/>
          <w:bCs/>
        </w:rPr>
        <w:t>‘Injunction Order’</w:t>
      </w:r>
      <w:r w:rsidR="009E24C5">
        <w:t xml:space="preserve">). The hearing is listed for the purposes of conducting the annual review of the Injunction Order as against the Eighth to Eleventh Defendants (Persons Unknown). The Claimant seeks the continuation of the Injunction Order for a further year, until the next annual review. </w:t>
      </w:r>
    </w:p>
    <w:p w:rsidR="009E24C5" w:rsidRDefault="009E24C5" w:rsidP="00431532">
      <w:pPr>
        <w:pStyle w:val="ListParagraph"/>
        <w:spacing w:line="360" w:lineRule="auto"/>
        <w:ind w:left="360"/>
        <w:jc w:val="both"/>
      </w:pPr>
    </w:p>
    <w:p w:rsidR="00E20BA0" w:rsidRDefault="009E24C5" w:rsidP="00431532">
      <w:pPr>
        <w:pStyle w:val="ListParagraph"/>
        <w:numPr>
          <w:ilvl w:val="0"/>
          <w:numId w:val="4"/>
        </w:numPr>
        <w:spacing w:line="360" w:lineRule="auto"/>
        <w:jc w:val="both"/>
      </w:pPr>
      <w:r>
        <w:t xml:space="preserve">No Application is made in relation to the Injunction Order as it applies to the Named Defendants; the </w:t>
      </w:r>
      <w:r w:rsidR="00354743">
        <w:t>Injunction</w:t>
      </w:r>
      <w:r>
        <w:t xml:space="preserve"> Order </w:t>
      </w:r>
      <w:r w:rsidR="00354743">
        <w:t>continues against those persons until 25 July 2030.</w:t>
      </w:r>
    </w:p>
    <w:p w:rsidR="003F71CE" w:rsidRDefault="003F71CE" w:rsidP="00431532">
      <w:pPr>
        <w:pStyle w:val="ListParagraph"/>
        <w:spacing w:line="360" w:lineRule="auto"/>
      </w:pPr>
    </w:p>
    <w:p w:rsidR="003F71CE" w:rsidRPr="003F71CE" w:rsidRDefault="003F71CE" w:rsidP="00431532">
      <w:pPr>
        <w:spacing w:line="360" w:lineRule="auto"/>
        <w:jc w:val="both"/>
        <w:rPr>
          <w:b/>
          <w:bCs/>
        </w:rPr>
      </w:pPr>
      <w:r>
        <w:rPr>
          <w:b/>
          <w:bCs/>
        </w:rPr>
        <w:t>Notice of this hearing</w:t>
      </w:r>
    </w:p>
    <w:p w:rsidR="003F71CE" w:rsidRDefault="003F71CE" w:rsidP="00431532">
      <w:pPr>
        <w:pStyle w:val="ListParagraph"/>
        <w:spacing w:line="360" w:lineRule="auto"/>
      </w:pPr>
    </w:p>
    <w:p w:rsidR="003F71CE" w:rsidRDefault="003F71CE" w:rsidP="00431532">
      <w:pPr>
        <w:pStyle w:val="ListParagraph"/>
        <w:numPr>
          <w:ilvl w:val="0"/>
          <w:numId w:val="4"/>
        </w:numPr>
        <w:spacing w:line="360" w:lineRule="auto"/>
        <w:jc w:val="both"/>
      </w:pPr>
      <w:r>
        <w:t xml:space="preserve">Persons Unknown have been </w:t>
      </w:r>
      <w:r w:rsidR="00CF63F0">
        <w:t>notified</w:t>
      </w:r>
      <w:r>
        <w:t xml:space="preserve"> of this hearing and the Claimant’s Application in accordance with the alternative service provisions provided for at paragraph 3 of the Injunction Order. Certificates of service are produced in the Application Bundle </w:t>
      </w:r>
      <w:r>
        <w:rPr>
          <w:b/>
          <w:bCs/>
        </w:rPr>
        <w:t>[</w:t>
      </w:r>
      <w:r w:rsidR="000E7DEE">
        <w:rPr>
          <w:b/>
          <w:bCs/>
        </w:rPr>
        <w:t>158-179</w:t>
      </w:r>
      <w:r>
        <w:rPr>
          <w:b/>
          <w:bCs/>
        </w:rPr>
        <w:t>]</w:t>
      </w:r>
      <w:r w:rsidR="002B1A10">
        <w:t xml:space="preserve">, and Mr Wargent’s fifth witness statement confirms that the injunction signs that were erected at each of the Claimant’s sites earlier in the proceedings remain in situ (paragraph 12(iv) </w:t>
      </w:r>
      <w:r w:rsidR="002B1A10">
        <w:rPr>
          <w:b/>
          <w:bCs/>
        </w:rPr>
        <w:t>[</w:t>
      </w:r>
      <w:r w:rsidR="000E7DEE">
        <w:rPr>
          <w:b/>
          <w:bCs/>
        </w:rPr>
        <w:t>49</w:t>
      </w:r>
      <w:r w:rsidR="002B1A10">
        <w:rPr>
          <w:b/>
          <w:bCs/>
        </w:rPr>
        <w:t>]</w:t>
      </w:r>
      <w:r w:rsidR="002B1A10">
        <w:t>)</w:t>
      </w:r>
      <w:r>
        <w:t>.</w:t>
      </w:r>
    </w:p>
    <w:p w:rsidR="00CF63F0" w:rsidRDefault="00CF63F0" w:rsidP="00431532">
      <w:pPr>
        <w:pStyle w:val="ListParagraph"/>
        <w:spacing w:line="360" w:lineRule="auto"/>
        <w:ind w:left="360"/>
        <w:jc w:val="both"/>
      </w:pPr>
    </w:p>
    <w:p w:rsidR="00CF63F0" w:rsidRDefault="00CF63F0" w:rsidP="00431532">
      <w:pPr>
        <w:pStyle w:val="ListParagraph"/>
        <w:numPr>
          <w:ilvl w:val="0"/>
          <w:numId w:val="4"/>
        </w:numPr>
        <w:spacing w:line="360" w:lineRule="auto"/>
        <w:jc w:val="both"/>
        <w:rPr>
          <w:bCs/>
        </w:rPr>
      </w:pPr>
      <w:r>
        <w:rPr>
          <w:bCs/>
        </w:rPr>
        <w:t>As</w:t>
      </w:r>
      <w:r w:rsidR="000E7DEE">
        <w:rPr>
          <w:bCs/>
        </w:rPr>
        <w:t xml:space="preserve"> </w:t>
      </w:r>
      <w:r>
        <w:rPr>
          <w:bCs/>
        </w:rPr>
        <w:t xml:space="preserve">against newcomer Persons Unknown, the relief is technically always sought on a without notice basis: </w:t>
      </w:r>
      <w:r>
        <w:rPr>
          <w:b/>
          <w:i/>
          <w:iCs/>
        </w:rPr>
        <w:t xml:space="preserve">Wolverhampton City Council &amp; Ors v London Gypsies and Travellers &amp; Ors </w:t>
      </w:r>
      <w:r>
        <w:rPr>
          <w:b/>
        </w:rPr>
        <w:t>[2024] AC 983 (‘</w:t>
      </w:r>
      <w:r>
        <w:rPr>
          <w:b/>
          <w:i/>
          <w:iCs/>
        </w:rPr>
        <w:t>Wolverhampton</w:t>
      </w:r>
      <w:r>
        <w:rPr>
          <w:b/>
        </w:rPr>
        <w:t xml:space="preserve">’) </w:t>
      </w:r>
      <w:r>
        <w:rPr>
          <w:bCs/>
        </w:rPr>
        <w:t xml:space="preserve">at [139], [142] and [143(ii)]. </w:t>
      </w:r>
      <w:r w:rsidRPr="002C7450">
        <w:rPr>
          <w:bCs/>
        </w:rPr>
        <w:t>That said, there remains an obligation to take all reasonable steps to draw the Application to the attention of Persons Unknown (</w:t>
      </w:r>
      <w:r w:rsidRPr="002C7450">
        <w:rPr>
          <w:b/>
          <w:i/>
          <w:iCs/>
        </w:rPr>
        <w:t xml:space="preserve">Wolverhampton </w:t>
      </w:r>
      <w:r w:rsidRPr="002C7450">
        <w:rPr>
          <w:bCs/>
        </w:rPr>
        <w:t xml:space="preserve">at [167(ii)] and [226-229]). </w:t>
      </w:r>
    </w:p>
    <w:p w:rsidR="00CF63F0" w:rsidRPr="002C7450" w:rsidRDefault="00CF63F0" w:rsidP="00431532">
      <w:pPr>
        <w:pStyle w:val="ListParagraph"/>
        <w:spacing w:line="360" w:lineRule="auto"/>
        <w:rPr>
          <w:bCs/>
        </w:rPr>
      </w:pPr>
    </w:p>
    <w:p w:rsidR="00CF63F0" w:rsidRPr="004C5151" w:rsidRDefault="00CF63F0" w:rsidP="00431532">
      <w:pPr>
        <w:pStyle w:val="ListParagraph"/>
        <w:numPr>
          <w:ilvl w:val="0"/>
          <w:numId w:val="4"/>
        </w:numPr>
        <w:spacing w:line="360" w:lineRule="auto"/>
        <w:jc w:val="both"/>
      </w:pPr>
      <w:r>
        <w:rPr>
          <w:bCs/>
        </w:rPr>
        <w:t xml:space="preserve">By discharging the comprehensive notification requirements at paragraph 3 of the Injunction Order, it is </w:t>
      </w:r>
      <w:r w:rsidRPr="002C7450">
        <w:rPr>
          <w:bCs/>
        </w:rPr>
        <w:t>submitted that th</w:t>
      </w:r>
      <w:r>
        <w:rPr>
          <w:bCs/>
        </w:rPr>
        <w:t>is</w:t>
      </w:r>
      <w:r w:rsidRPr="002C7450">
        <w:rPr>
          <w:bCs/>
        </w:rPr>
        <w:t xml:space="preserve"> obligation </w:t>
      </w:r>
      <w:r>
        <w:rPr>
          <w:bCs/>
        </w:rPr>
        <w:t>has been complied with.</w:t>
      </w:r>
    </w:p>
    <w:p w:rsidR="00CF63F0" w:rsidRDefault="00CF63F0" w:rsidP="00431532">
      <w:pPr>
        <w:pStyle w:val="ListParagraph"/>
        <w:spacing w:line="360" w:lineRule="auto"/>
      </w:pPr>
    </w:p>
    <w:p w:rsidR="00CF63F0" w:rsidRPr="004C5151" w:rsidRDefault="00CF63F0" w:rsidP="00431532">
      <w:pPr>
        <w:pStyle w:val="ListParagraph"/>
        <w:spacing w:line="360" w:lineRule="auto"/>
        <w:ind w:left="360"/>
        <w:jc w:val="both"/>
        <w:rPr>
          <w:b/>
          <w:bCs/>
          <w:i/>
          <w:iCs/>
        </w:rPr>
      </w:pPr>
      <w:r>
        <w:rPr>
          <w:b/>
          <w:bCs/>
          <w:i/>
          <w:iCs/>
        </w:rPr>
        <w:t>Human Rights Act 1998, s12</w:t>
      </w:r>
    </w:p>
    <w:p w:rsidR="00CF63F0" w:rsidRPr="001B5451" w:rsidRDefault="00CF63F0" w:rsidP="00431532">
      <w:pPr>
        <w:spacing w:line="360" w:lineRule="auto"/>
        <w:jc w:val="both"/>
        <w:rPr>
          <w:bCs/>
        </w:rPr>
      </w:pPr>
    </w:p>
    <w:p w:rsidR="00CF63F0" w:rsidRDefault="00CF63F0" w:rsidP="00431532">
      <w:pPr>
        <w:pStyle w:val="ListParagraph"/>
        <w:numPr>
          <w:ilvl w:val="0"/>
          <w:numId w:val="4"/>
        </w:numPr>
        <w:spacing w:line="360" w:lineRule="auto"/>
        <w:jc w:val="both"/>
        <w:rPr>
          <w:bCs/>
        </w:rPr>
      </w:pPr>
      <w:r>
        <w:rPr>
          <w:bCs/>
        </w:rPr>
        <w:t xml:space="preserve">In the interests of full and frank disclosure, the </w:t>
      </w:r>
      <w:r w:rsidR="000E7DEE">
        <w:rPr>
          <w:bCs/>
        </w:rPr>
        <w:t>c</w:t>
      </w:r>
      <w:r>
        <w:rPr>
          <w:bCs/>
        </w:rPr>
        <w:t xml:space="preserve">ourt’s attention is drawn to the </w:t>
      </w:r>
      <w:r>
        <w:rPr>
          <w:b/>
        </w:rPr>
        <w:t xml:space="preserve">Human Rights Act 1998, s12(2) </w:t>
      </w:r>
      <w:r>
        <w:rPr>
          <w:bCs/>
        </w:rPr>
        <w:t>(as it has been at every other hearing</w:t>
      </w:r>
      <w:r w:rsidR="000E7DEE">
        <w:rPr>
          <w:bCs/>
        </w:rPr>
        <w:t xml:space="preserve"> in these proceedings</w:t>
      </w:r>
      <w:r>
        <w:rPr>
          <w:bCs/>
        </w:rPr>
        <w:t>).</w:t>
      </w:r>
    </w:p>
    <w:p w:rsidR="00CF63F0" w:rsidRPr="001B5451" w:rsidRDefault="00CF63F0" w:rsidP="00431532">
      <w:pPr>
        <w:pStyle w:val="ListParagraph"/>
        <w:spacing w:line="360" w:lineRule="auto"/>
        <w:rPr>
          <w:bCs/>
        </w:rPr>
      </w:pPr>
    </w:p>
    <w:p w:rsidR="00CF63F0" w:rsidRPr="001B5451" w:rsidRDefault="00CF63F0" w:rsidP="00431532">
      <w:pPr>
        <w:pStyle w:val="ListParagraph"/>
        <w:numPr>
          <w:ilvl w:val="0"/>
          <w:numId w:val="4"/>
        </w:numPr>
        <w:spacing w:line="360" w:lineRule="auto"/>
        <w:jc w:val="both"/>
        <w:rPr>
          <w:bCs/>
        </w:rPr>
      </w:pPr>
      <w:r>
        <w:rPr>
          <w:bCs/>
        </w:rPr>
        <w:t xml:space="preserve">Section 12 applies if the relief granted might affect the exercise of the defendant’s article 10 rights (see </w:t>
      </w:r>
      <w:r>
        <w:rPr>
          <w:b/>
        </w:rPr>
        <w:t>s12(1)</w:t>
      </w:r>
      <w:r>
        <w:rPr>
          <w:bCs/>
        </w:rPr>
        <w:t xml:space="preserve">). As the relief in this claim is sought in the context of protest, a Person Unknown may argue that this section applies. </w:t>
      </w:r>
      <w:r>
        <w:rPr>
          <w:b/>
        </w:rPr>
        <w:t>Section 12(2)</w:t>
      </w:r>
      <w:r>
        <w:rPr>
          <w:bCs/>
        </w:rPr>
        <w:t xml:space="preserve"> further</w:t>
      </w:r>
      <w:r w:rsidRPr="001B5451">
        <w:rPr>
          <w:bCs/>
        </w:rPr>
        <w:t xml:space="preserve"> provides:</w:t>
      </w:r>
    </w:p>
    <w:p w:rsidR="00CF63F0" w:rsidRPr="001B5451" w:rsidRDefault="00CF63F0" w:rsidP="00431532">
      <w:pPr>
        <w:pStyle w:val="ListParagraph"/>
        <w:spacing w:line="360" w:lineRule="auto"/>
        <w:rPr>
          <w:bCs/>
        </w:rPr>
      </w:pPr>
    </w:p>
    <w:p w:rsidR="00CF63F0" w:rsidRPr="007E7AF3" w:rsidRDefault="00CF63F0" w:rsidP="00431532">
      <w:pPr>
        <w:pStyle w:val="ListParagraph"/>
        <w:jc w:val="both"/>
        <w:rPr>
          <w:rFonts w:cs="Times New Roman"/>
          <w:bCs/>
          <w:i/>
          <w:iCs/>
        </w:rPr>
      </w:pPr>
      <w:r w:rsidRPr="007E7AF3">
        <w:rPr>
          <w:rFonts w:cs="Times New Roman"/>
          <w:bCs/>
          <w:i/>
          <w:iCs/>
        </w:rPr>
        <w:t xml:space="preserve">If the person against whom the application for relief is made (“the respondent”) is neither present nor represented, no such relief is to be granted unless the court is satisfied – </w:t>
      </w:r>
    </w:p>
    <w:p w:rsidR="00CF63F0" w:rsidRPr="007E7AF3" w:rsidRDefault="00CF63F0" w:rsidP="00431532">
      <w:pPr>
        <w:pStyle w:val="ListParagraph"/>
        <w:jc w:val="both"/>
        <w:rPr>
          <w:rFonts w:cs="Times New Roman"/>
          <w:bCs/>
          <w:i/>
          <w:iCs/>
        </w:rPr>
      </w:pPr>
    </w:p>
    <w:p w:rsidR="00CF63F0" w:rsidRPr="007E7AF3" w:rsidRDefault="00CF63F0" w:rsidP="00431532">
      <w:pPr>
        <w:pStyle w:val="ListParagraph"/>
        <w:numPr>
          <w:ilvl w:val="0"/>
          <w:numId w:val="6"/>
        </w:numPr>
        <w:jc w:val="both"/>
        <w:rPr>
          <w:rFonts w:cs="Times New Roman"/>
          <w:bCs/>
          <w:i/>
          <w:iCs/>
        </w:rPr>
      </w:pPr>
      <w:r w:rsidRPr="007E7AF3">
        <w:rPr>
          <w:rFonts w:cs="Times New Roman"/>
          <w:bCs/>
          <w:i/>
          <w:iCs/>
        </w:rPr>
        <w:t>that the applicant has taken all practicable steps to notify the respondent; or</w:t>
      </w:r>
    </w:p>
    <w:p w:rsidR="00CF63F0" w:rsidRPr="007E7AF3" w:rsidRDefault="00CF63F0" w:rsidP="00431532">
      <w:pPr>
        <w:pStyle w:val="ListParagraph"/>
        <w:ind w:left="1080"/>
        <w:jc w:val="both"/>
        <w:rPr>
          <w:rFonts w:cs="Times New Roman"/>
          <w:bCs/>
          <w:i/>
          <w:iCs/>
        </w:rPr>
      </w:pPr>
    </w:p>
    <w:p w:rsidR="00CF63F0" w:rsidRPr="001B5451" w:rsidRDefault="00CF63F0" w:rsidP="00431532">
      <w:pPr>
        <w:pStyle w:val="ListParagraph"/>
        <w:numPr>
          <w:ilvl w:val="0"/>
          <w:numId w:val="6"/>
        </w:numPr>
        <w:jc w:val="both"/>
        <w:rPr>
          <w:rFonts w:cs="Times New Roman"/>
          <w:bCs/>
          <w:i/>
          <w:iCs/>
        </w:rPr>
      </w:pPr>
      <w:r w:rsidRPr="007E7AF3">
        <w:rPr>
          <w:rFonts w:cs="Times New Roman"/>
          <w:bCs/>
          <w:i/>
          <w:iCs/>
        </w:rPr>
        <w:lastRenderedPageBreak/>
        <w:t xml:space="preserve">that there are compelling reasons why the respondent should not be notified. </w:t>
      </w:r>
    </w:p>
    <w:p w:rsidR="00CF63F0" w:rsidRPr="004C5151" w:rsidRDefault="00CF63F0" w:rsidP="00431532">
      <w:pPr>
        <w:pStyle w:val="ListParagraph"/>
        <w:spacing w:line="360" w:lineRule="auto"/>
        <w:rPr>
          <w:bCs/>
        </w:rPr>
      </w:pPr>
    </w:p>
    <w:p w:rsidR="00CF63F0" w:rsidRDefault="00CF63F0" w:rsidP="00431532">
      <w:pPr>
        <w:pStyle w:val="ListParagraph"/>
        <w:numPr>
          <w:ilvl w:val="0"/>
          <w:numId w:val="4"/>
        </w:numPr>
        <w:spacing w:line="360" w:lineRule="auto"/>
        <w:jc w:val="both"/>
        <w:rPr>
          <w:bCs/>
        </w:rPr>
      </w:pPr>
      <w:r>
        <w:rPr>
          <w:bCs/>
        </w:rPr>
        <w:t xml:space="preserve">It is submitted that the steps taken to notify Persons Unknown discharges the obligation to take all practicable steps to notify Persons Unknown. In any event, the relief has already been granted until 25 July 2030 against the Eighth to Eleventh Defendants (Persons Unknown), and this hearing is only a review and not a re-grant of the same. </w:t>
      </w:r>
    </w:p>
    <w:p w:rsidR="00D56FAA" w:rsidRDefault="00D56FAA" w:rsidP="00431532">
      <w:pPr>
        <w:spacing w:line="360" w:lineRule="auto"/>
        <w:jc w:val="both"/>
        <w:rPr>
          <w:bCs/>
        </w:rPr>
      </w:pPr>
    </w:p>
    <w:p w:rsidR="00D56FAA" w:rsidRPr="00D56FAA" w:rsidRDefault="00D56FAA" w:rsidP="00431532">
      <w:pPr>
        <w:spacing w:line="360" w:lineRule="auto"/>
        <w:jc w:val="both"/>
        <w:rPr>
          <w:b/>
          <w:u w:val="single"/>
        </w:rPr>
      </w:pPr>
      <w:r>
        <w:rPr>
          <w:b/>
          <w:u w:val="single"/>
        </w:rPr>
        <w:t>BACKGROUND</w:t>
      </w:r>
    </w:p>
    <w:p w:rsidR="00D56FAA" w:rsidRPr="00D56FAA" w:rsidRDefault="00D56FAA" w:rsidP="00431532">
      <w:pPr>
        <w:spacing w:line="360" w:lineRule="auto"/>
        <w:jc w:val="both"/>
        <w:rPr>
          <w:bCs/>
        </w:rPr>
      </w:pPr>
    </w:p>
    <w:p w:rsidR="00D56FAA" w:rsidRDefault="00D56FAA" w:rsidP="00431532">
      <w:pPr>
        <w:pStyle w:val="ListParagraph"/>
        <w:numPr>
          <w:ilvl w:val="0"/>
          <w:numId w:val="4"/>
        </w:numPr>
        <w:spacing w:line="360" w:lineRule="auto"/>
        <w:jc w:val="both"/>
        <w:rPr>
          <w:bCs/>
        </w:rPr>
      </w:pPr>
      <w:r>
        <w:rPr>
          <w:bCs/>
        </w:rPr>
        <w:t>The background to the claim is set out in detail in the Claimant’s earlier witness statements in the claim, and in the judgment of Richard Wright KC (sitting as a Deputy Judge of the High Court) ([2025] EWHC 2050 (KB))</w:t>
      </w:r>
      <w:r w:rsidR="0042644A">
        <w:rPr>
          <w:bCs/>
        </w:rPr>
        <w:t xml:space="preserve"> (the </w:t>
      </w:r>
      <w:r w:rsidR="0042644A">
        <w:rPr>
          <w:b/>
        </w:rPr>
        <w:t>‘Judgment’</w:t>
      </w:r>
      <w:r w:rsidR="0042644A">
        <w:rPr>
          <w:bCs/>
        </w:rPr>
        <w:t>)</w:t>
      </w:r>
      <w:r>
        <w:rPr>
          <w:bCs/>
        </w:rPr>
        <w:t xml:space="preserve"> </w:t>
      </w:r>
      <w:r>
        <w:rPr>
          <w:b/>
        </w:rPr>
        <w:t>[</w:t>
      </w:r>
      <w:r w:rsidR="000E7DEE">
        <w:rPr>
          <w:b/>
        </w:rPr>
        <w:t>110-149</w:t>
      </w:r>
      <w:r>
        <w:rPr>
          <w:b/>
        </w:rPr>
        <w:t>]</w:t>
      </w:r>
      <w:r>
        <w:rPr>
          <w:bCs/>
        </w:rPr>
        <w:t>. The court is respectfully asked to consider the content of that judgment.</w:t>
      </w:r>
    </w:p>
    <w:p w:rsidR="00D56FAA" w:rsidRDefault="00D56FAA" w:rsidP="00431532">
      <w:pPr>
        <w:pStyle w:val="ListParagraph"/>
        <w:spacing w:line="360" w:lineRule="auto"/>
        <w:ind w:left="360"/>
        <w:jc w:val="both"/>
        <w:rPr>
          <w:bCs/>
        </w:rPr>
      </w:pPr>
    </w:p>
    <w:p w:rsidR="00D56FAA" w:rsidRPr="004902C9" w:rsidRDefault="00D56FAA" w:rsidP="00431532">
      <w:pPr>
        <w:pStyle w:val="ListParagraph"/>
        <w:numPr>
          <w:ilvl w:val="0"/>
          <w:numId w:val="4"/>
        </w:numPr>
        <w:spacing w:line="360" w:lineRule="auto"/>
        <w:jc w:val="both"/>
      </w:pPr>
      <w:r>
        <w:rPr>
          <w:bCs/>
        </w:rPr>
        <w:t xml:space="preserve">In short, </w:t>
      </w:r>
      <w:r w:rsidR="000E7DEE">
        <w:t>t</w:t>
      </w:r>
      <w:r>
        <w:t xml:space="preserve">he </w:t>
      </w:r>
      <w:r w:rsidRPr="004902C9">
        <w:rPr>
          <w:bCs/>
        </w:rPr>
        <w:t xml:space="preserve">Claimant holds the freehold title to the Shipley, Lincoln and Chelmsford Sites, and the leasehold title to the Wirral, Presteigne and Newbury Sites (all as defined in the claim), from which it conducts its business. </w:t>
      </w:r>
    </w:p>
    <w:p w:rsidR="00D56FAA" w:rsidRPr="00E149BD" w:rsidRDefault="00D56FAA" w:rsidP="00431532">
      <w:pPr>
        <w:spacing w:line="360" w:lineRule="auto"/>
        <w:jc w:val="both"/>
      </w:pPr>
    </w:p>
    <w:p w:rsidR="00D56FAA" w:rsidRDefault="00D56FAA" w:rsidP="00431532">
      <w:pPr>
        <w:pStyle w:val="ListParagraph"/>
        <w:numPr>
          <w:ilvl w:val="0"/>
          <w:numId w:val="4"/>
        </w:numPr>
        <w:spacing w:line="360" w:lineRule="auto"/>
        <w:jc w:val="both"/>
        <w:rPr>
          <w:bCs/>
        </w:rPr>
      </w:pPr>
      <w:r>
        <w:rPr>
          <w:bCs/>
        </w:rPr>
        <w:t>The Claimant produces specialised components and subsystems for medical, science, aerospace, defence and industrial applications. The Claimant, across its UK sites, mainly manufactures products for commercial use in a wide range of industrial markets, including defence and aerospace. The manufactured components and subsystems are incorporated by the Claimant’s customers into their own products. Some products have military end-uses, and are manufactured for use by the UK Ministry of Defence, NATO member states and other allied nations. Some products are exported under licence to Israel.</w:t>
      </w:r>
    </w:p>
    <w:p w:rsidR="00D56FAA" w:rsidRPr="007E3787" w:rsidRDefault="00D56FAA" w:rsidP="00431532">
      <w:pPr>
        <w:spacing w:line="360" w:lineRule="auto"/>
        <w:jc w:val="both"/>
        <w:rPr>
          <w:bCs/>
        </w:rPr>
      </w:pPr>
    </w:p>
    <w:p w:rsidR="00D56FAA" w:rsidRPr="00D56FAA" w:rsidRDefault="00D56FAA" w:rsidP="00431532">
      <w:pPr>
        <w:pStyle w:val="ListParagraph"/>
        <w:numPr>
          <w:ilvl w:val="0"/>
          <w:numId w:val="4"/>
        </w:numPr>
        <w:spacing w:line="360" w:lineRule="auto"/>
        <w:jc w:val="both"/>
      </w:pPr>
      <w:r w:rsidRPr="00C769CE">
        <w:rPr>
          <w:bCs/>
        </w:rPr>
        <w:t xml:space="preserve">By reason of its business, the Claimant </w:t>
      </w:r>
      <w:r>
        <w:rPr>
          <w:bCs/>
        </w:rPr>
        <w:t>became</w:t>
      </w:r>
      <w:r w:rsidRPr="00C769CE">
        <w:rPr>
          <w:bCs/>
        </w:rPr>
        <w:t xml:space="preserve"> a target for direct-action protest, especially by </w:t>
      </w:r>
      <w:r w:rsidR="00DC7935">
        <w:rPr>
          <w:bCs/>
        </w:rPr>
        <w:t xml:space="preserve">pro-Palestinian </w:t>
      </w:r>
      <w:r w:rsidRPr="00C769CE">
        <w:rPr>
          <w:bCs/>
        </w:rPr>
        <w:t>activists protesting a</w:t>
      </w:r>
      <w:r w:rsidR="00DC7935">
        <w:rPr>
          <w:bCs/>
        </w:rPr>
        <w:t>gainst</w:t>
      </w:r>
      <w:r w:rsidRPr="00C769CE">
        <w:rPr>
          <w:bCs/>
        </w:rPr>
        <w:t xml:space="preserve"> conflict in the Middle East. In particular, and as explained in </w:t>
      </w:r>
      <w:r>
        <w:rPr>
          <w:bCs/>
        </w:rPr>
        <w:t xml:space="preserve">detail throughout </w:t>
      </w:r>
      <w:r w:rsidRPr="00C769CE">
        <w:rPr>
          <w:bCs/>
        </w:rPr>
        <w:t xml:space="preserve">the </w:t>
      </w:r>
      <w:r>
        <w:rPr>
          <w:bCs/>
        </w:rPr>
        <w:t>Claimant’s evidence</w:t>
      </w:r>
      <w:r w:rsidRPr="00C769CE">
        <w:rPr>
          <w:bCs/>
        </w:rPr>
        <w:t xml:space="preserve">, </w:t>
      </w:r>
      <w:r>
        <w:rPr>
          <w:bCs/>
        </w:rPr>
        <w:t>prior to its proscription under terrorism legislation</w:t>
      </w:r>
      <w:r w:rsidR="00DC7935">
        <w:rPr>
          <w:bCs/>
        </w:rPr>
        <w:t>,</w:t>
      </w:r>
      <w:r>
        <w:rPr>
          <w:bCs/>
        </w:rPr>
        <w:t xml:space="preserve"> </w:t>
      </w:r>
      <w:r w:rsidRPr="00C769CE">
        <w:rPr>
          <w:bCs/>
        </w:rPr>
        <w:t>the group known as ‘Palestine Action’</w:t>
      </w:r>
      <w:r>
        <w:rPr>
          <w:bCs/>
        </w:rPr>
        <w:t xml:space="preserve"> frequently targeted the Claimant’s sites in an aggravated manner, causing significant property damage.</w:t>
      </w:r>
      <w:r w:rsidRPr="00C769CE">
        <w:rPr>
          <w:bCs/>
        </w:rPr>
        <w:t xml:space="preserve"> </w:t>
      </w:r>
      <w:r>
        <w:rPr>
          <w:bCs/>
        </w:rPr>
        <w:t>The group also incited and encouraged</w:t>
      </w:r>
      <w:r w:rsidRPr="00C769CE">
        <w:rPr>
          <w:bCs/>
        </w:rPr>
        <w:t xml:space="preserve"> unlawful acts of protest including </w:t>
      </w:r>
      <w:r>
        <w:rPr>
          <w:bCs/>
        </w:rPr>
        <w:t xml:space="preserve">(but not limited to) acts of (aggravated) trespass and criminal damage (for example, see the ‘Underground Manual’ </w:t>
      </w:r>
      <w:r>
        <w:rPr>
          <w:bCs/>
        </w:rPr>
        <w:lastRenderedPageBreak/>
        <w:t>published by the group, and its various social media postings in the Claimant’s evidence). Other groups and individuals have also targeted the Claimant’s sites, most notably the group known as ‘Bradford Friends of Palestine’, although, with some exceptions, they have generally done so in a less aggravated manner.</w:t>
      </w:r>
    </w:p>
    <w:p w:rsidR="00D56FAA" w:rsidRDefault="00D56FAA" w:rsidP="00431532">
      <w:pPr>
        <w:pStyle w:val="ListParagraph"/>
        <w:spacing w:line="360" w:lineRule="auto"/>
      </w:pPr>
    </w:p>
    <w:p w:rsidR="00D56FAA" w:rsidRDefault="00D56FAA" w:rsidP="00431532">
      <w:pPr>
        <w:pStyle w:val="ListParagraph"/>
        <w:numPr>
          <w:ilvl w:val="0"/>
          <w:numId w:val="4"/>
        </w:numPr>
        <w:spacing w:line="360" w:lineRule="auto"/>
        <w:jc w:val="both"/>
      </w:pPr>
      <w:r>
        <w:t>Following an escalation in incidents of unlawful direct-action protest at its sites, the Claimant sought and obtained injunctive relief to restrain acts of trespass a</w:t>
      </w:r>
      <w:r w:rsidR="0042644A">
        <w:t>t the six sites listed above, and also to re</w:t>
      </w:r>
      <w:r w:rsidR="00DC7935">
        <w:t>s</w:t>
      </w:r>
      <w:r w:rsidR="0042644A">
        <w:t>train incidents of obstruction of the highway and interferences with the Claimant’s common law right to access the highway at the Shipley Site. In particular, the Claimant relied on 13 incidents of unlawful direct-action</w:t>
      </w:r>
      <w:r w:rsidR="00DC7935">
        <w:t xml:space="preserve"> protest</w:t>
      </w:r>
      <w:r w:rsidR="0042644A">
        <w:t xml:space="preserve"> that occurred at its sites between 9 December 2022 and 18 February 2025; the nature of these incidents was varied, and included several incidents of rooftop occupations and damage, arson and </w:t>
      </w:r>
      <w:r w:rsidR="00140125">
        <w:t>a lock-on</w:t>
      </w:r>
      <w:r w:rsidR="0042644A">
        <w:t>.</w:t>
      </w:r>
      <w:r w:rsidR="00140125">
        <w:t xml:space="preserve"> </w:t>
      </w:r>
      <w:r w:rsidR="0042644A">
        <w:t xml:space="preserve">Many of these incidents resulted in significant property damage and loss of revenue for the Claimant, as set out in paragraph 10 of the Judgment </w:t>
      </w:r>
      <w:r w:rsidR="0042644A">
        <w:rPr>
          <w:b/>
          <w:bCs/>
        </w:rPr>
        <w:t>[</w:t>
      </w:r>
      <w:r w:rsidR="00DC7935">
        <w:rPr>
          <w:b/>
          <w:bCs/>
        </w:rPr>
        <w:t>114-115</w:t>
      </w:r>
      <w:r w:rsidR="0042644A">
        <w:rPr>
          <w:b/>
          <w:bCs/>
        </w:rPr>
        <w:t>]</w:t>
      </w:r>
      <w:r w:rsidR="0042644A">
        <w:t xml:space="preserve">. </w:t>
      </w:r>
    </w:p>
    <w:p w:rsidR="00140125" w:rsidRDefault="00140125" w:rsidP="00431532">
      <w:pPr>
        <w:pStyle w:val="ListParagraph"/>
        <w:spacing w:line="360" w:lineRule="auto"/>
      </w:pPr>
    </w:p>
    <w:p w:rsidR="00140125" w:rsidRDefault="00140125" w:rsidP="00431532">
      <w:pPr>
        <w:pStyle w:val="ListParagraph"/>
        <w:numPr>
          <w:ilvl w:val="0"/>
          <w:numId w:val="4"/>
        </w:numPr>
        <w:spacing w:line="360" w:lineRule="auto"/>
        <w:jc w:val="both"/>
      </w:pPr>
      <w:r>
        <w:t>In addition to the incidents at the Claimant’s sites, Keystone Law, the solicitors acting for the Claimant in the claim, were also targeted</w:t>
      </w:r>
      <w:r w:rsidR="00327652">
        <w:t xml:space="preserve"> in March and May 2025</w:t>
      </w:r>
      <w:r>
        <w:t xml:space="preserve">. As set out at paragraph 11 </w:t>
      </w:r>
      <w:r w:rsidR="00D17A84">
        <w:t xml:space="preserve">of the Judgment </w:t>
      </w:r>
      <w:r w:rsidR="00D17A84">
        <w:rPr>
          <w:b/>
          <w:bCs/>
        </w:rPr>
        <w:t>[</w:t>
      </w:r>
      <w:r w:rsidR="00DC7935">
        <w:rPr>
          <w:b/>
          <w:bCs/>
        </w:rPr>
        <w:t>115</w:t>
      </w:r>
      <w:r w:rsidR="00D17A84">
        <w:rPr>
          <w:b/>
          <w:bCs/>
        </w:rPr>
        <w:t>]</w:t>
      </w:r>
      <w:r w:rsidR="00327652">
        <w:t xml:space="preserve">, the offices of Keystone Law were damaged extensively by Palestine Action supporters, and a poster campaign against the </w:t>
      </w:r>
      <w:r w:rsidR="006D532B">
        <w:t>partner</w:t>
      </w:r>
      <w:r w:rsidR="00327652">
        <w:t xml:space="preserve"> with conduct of the proceedings was undertaken around the vicinity of Chancery Lane.</w:t>
      </w:r>
    </w:p>
    <w:p w:rsidR="00327652" w:rsidRDefault="00327652" w:rsidP="00431532">
      <w:pPr>
        <w:pStyle w:val="ListParagraph"/>
        <w:spacing w:line="360" w:lineRule="auto"/>
      </w:pPr>
    </w:p>
    <w:p w:rsidR="00327652" w:rsidRDefault="00327652" w:rsidP="00431532">
      <w:pPr>
        <w:pStyle w:val="ListParagraph"/>
        <w:numPr>
          <w:ilvl w:val="0"/>
          <w:numId w:val="4"/>
        </w:numPr>
        <w:spacing w:line="360" w:lineRule="auto"/>
        <w:jc w:val="both"/>
      </w:pPr>
      <w:r>
        <w:t xml:space="preserve">On 20 December 2024, without notice injunctive relief was granted by Bourne J. The relief was continued by Tipples J on 24 January 2025. At the hearing on 25 July 2025, the Deputy Judge granted final relief for a period of five years against the remaining Named Defendants, and on review of the order against Persons Unknown made a five-year order subject to annual review in the usual way. </w:t>
      </w:r>
    </w:p>
    <w:p w:rsidR="0035327B" w:rsidRDefault="0035327B" w:rsidP="00431532">
      <w:pPr>
        <w:pStyle w:val="ListParagraph"/>
        <w:spacing w:line="360" w:lineRule="auto"/>
      </w:pPr>
    </w:p>
    <w:p w:rsidR="0035327B" w:rsidRPr="0035327B" w:rsidRDefault="0035327B" w:rsidP="00431532">
      <w:pPr>
        <w:spacing w:line="360" w:lineRule="auto"/>
        <w:jc w:val="both"/>
        <w:rPr>
          <w:b/>
          <w:bCs/>
        </w:rPr>
      </w:pPr>
      <w:r>
        <w:rPr>
          <w:b/>
          <w:bCs/>
        </w:rPr>
        <w:t>Events since the grant of the Injunction Order</w:t>
      </w:r>
    </w:p>
    <w:p w:rsidR="0035327B" w:rsidRDefault="0035327B" w:rsidP="00431532">
      <w:pPr>
        <w:pStyle w:val="ListParagraph"/>
        <w:spacing w:line="360" w:lineRule="auto"/>
      </w:pPr>
    </w:p>
    <w:p w:rsidR="0035327B" w:rsidRDefault="002B1A10" w:rsidP="00431532">
      <w:pPr>
        <w:pStyle w:val="ListParagraph"/>
        <w:numPr>
          <w:ilvl w:val="0"/>
          <w:numId w:val="4"/>
        </w:numPr>
        <w:spacing w:line="360" w:lineRule="auto"/>
        <w:jc w:val="both"/>
      </w:pPr>
      <w:r>
        <w:t>Mr Wargent’s fifth witness statement updates the court as to matters that have occurred since the grant of the Injunction Order</w:t>
      </w:r>
      <w:r w:rsidR="003C6C0C">
        <w:t xml:space="preserve"> (see paragraphs 18 to 22 </w:t>
      </w:r>
      <w:r w:rsidR="003C6C0C">
        <w:rPr>
          <w:b/>
          <w:bCs/>
        </w:rPr>
        <w:t>[</w:t>
      </w:r>
      <w:r w:rsidR="00DC7935">
        <w:rPr>
          <w:b/>
          <w:bCs/>
        </w:rPr>
        <w:t>50-51</w:t>
      </w:r>
      <w:r w:rsidR="003C6C0C">
        <w:rPr>
          <w:b/>
          <w:bCs/>
        </w:rPr>
        <w:t>]</w:t>
      </w:r>
      <w:r w:rsidR="003C6C0C">
        <w:t>)</w:t>
      </w:r>
      <w:r>
        <w:t xml:space="preserve">. In that statement, Mr Wargent confirms that </w:t>
      </w:r>
      <w:r w:rsidR="002851F3">
        <w:t xml:space="preserve">there continue to be acts of protest at and proximate to the Claimant’s sites protected by the injunctive relief, </w:t>
      </w:r>
      <w:r w:rsidR="003C6C0C">
        <w:t>but that for the most part those protests have been lawful and peaceful, although the limits of the relief have been tested at time</w:t>
      </w:r>
      <w:r w:rsidR="00DC7935">
        <w:t>s</w:t>
      </w:r>
      <w:r w:rsidR="003C6C0C">
        <w:t xml:space="preserve">. The Injunction Order has accommodated and struck the balance between the continuation of lawful protest whilst guarding against unlawful acts, and does not appear to have had any chilling effect. Exhibit NJW/5-9 </w:t>
      </w:r>
      <w:r w:rsidR="003C6C0C">
        <w:rPr>
          <w:b/>
          <w:bCs/>
        </w:rPr>
        <w:t>[</w:t>
      </w:r>
      <w:r w:rsidR="00DC7935">
        <w:rPr>
          <w:b/>
          <w:bCs/>
        </w:rPr>
        <w:t>71-76</w:t>
      </w:r>
      <w:r w:rsidR="003C6C0C">
        <w:rPr>
          <w:b/>
          <w:bCs/>
        </w:rPr>
        <w:t xml:space="preserve">] </w:t>
      </w:r>
      <w:r w:rsidR="003C6C0C">
        <w:t xml:space="preserve">is a spreadsheet documenting acts of protest that have </w:t>
      </w:r>
      <w:r w:rsidR="00DC7935">
        <w:t xml:space="preserve">occurred </w:t>
      </w:r>
      <w:r w:rsidR="003C6C0C">
        <w:t xml:space="preserve">up to 26 June 2026; that spreadsheet shows that the Claimant has recorded </w:t>
      </w:r>
      <w:r w:rsidR="0057343E">
        <w:t xml:space="preserve">61 incidents of protest at its </w:t>
      </w:r>
      <w:r w:rsidR="00DC7935">
        <w:t>s</w:t>
      </w:r>
      <w:r w:rsidR="0057343E">
        <w:t>ites</w:t>
      </w:r>
      <w:r w:rsidR="00DC7935">
        <w:t xml:space="preserve"> since the grant of the Injunction Order</w:t>
      </w:r>
      <w:r w:rsidR="0057343E">
        <w:t>, all but three of which occurred at the Shipley Site.</w:t>
      </w:r>
    </w:p>
    <w:p w:rsidR="0057343E" w:rsidRDefault="0057343E" w:rsidP="00431532">
      <w:pPr>
        <w:pStyle w:val="ListParagraph"/>
        <w:spacing w:line="360" w:lineRule="auto"/>
        <w:ind w:left="360"/>
        <w:jc w:val="both"/>
      </w:pPr>
    </w:p>
    <w:p w:rsidR="0057343E" w:rsidRDefault="0057343E" w:rsidP="00431532">
      <w:pPr>
        <w:pStyle w:val="ListParagraph"/>
        <w:numPr>
          <w:ilvl w:val="0"/>
          <w:numId w:val="4"/>
        </w:numPr>
        <w:spacing w:line="360" w:lineRule="auto"/>
        <w:jc w:val="both"/>
      </w:pPr>
      <w:r>
        <w:t xml:space="preserve">Mr Wargent’s fifth witness statement also explains that pro-Palestinian protests continue to occur at the premises of other organisations, including those that also have links to Israel and the security and defence sectors (paragraphs 29 to 36 </w:t>
      </w:r>
      <w:r>
        <w:rPr>
          <w:b/>
          <w:bCs/>
        </w:rPr>
        <w:t>[</w:t>
      </w:r>
      <w:r w:rsidR="00DC7935">
        <w:rPr>
          <w:b/>
          <w:bCs/>
        </w:rPr>
        <w:t>52-56</w:t>
      </w:r>
      <w:r>
        <w:rPr>
          <w:b/>
          <w:bCs/>
        </w:rPr>
        <w:t>]</w:t>
      </w:r>
      <w:r>
        <w:t>). Mr Wargent gives some examples of the same, which examples include incidents of direct-action protest of a similar nature to that experience</w:t>
      </w:r>
      <w:r w:rsidR="002E5C44">
        <w:t>d</w:t>
      </w:r>
      <w:r>
        <w:t xml:space="preserve"> by the Claimant prior to the grant of injunctive relief (most notably, property damage). </w:t>
      </w:r>
      <w:r w:rsidR="000D744F">
        <w:t>Mr Wargent explains that the Claimant apprehends that if the Injunction Order was discharged, further similar acts would occur at the Claimant’s sites.</w:t>
      </w:r>
    </w:p>
    <w:p w:rsidR="007022FC" w:rsidRDefault="007022FC" w:rsidP="00431532">
      <w:pPr>
        <w:pStyle w:val="ListParagraph"/>
        <w:spacing w:line="360" w:lineRule="auto"/>
      </w:pPr>
    </w:p>
    <w:p w:rsidR="007022FC" w:rsidRPr="007022FC" w:rsidRDefault="007022FC" w:rsidP="00431532">
      <w:pPr>
        <w:spacing w:line="360" w:lineRule="auto"/>
        <w:jc w:val="both"/>
        <w:rPr>
          <w:b/>
          <w:bCs/>
          <w:u w:val="single"/>
        </w:rPr>
      </w:pPr>
      <w:r>
        <w:rPr>
          <w:b/>
          <w:bCs/>
          <w:u w:val="single"/>
        </w:rPr>
        <w:t>RELEVANT LEGAL PRINCIPLES</w:t>
      </w:r>
    </w:p>
    <w:p w:rsidR="00CF63F0" w:rsidRDefault="00CF63F0" w:rsidP="00431532">
      <w:pPr>
        <w:spacing w:line="360" w:lineRule="auto"/>
        <w:jc w:val="both"/>
      </w:pPr>
    </w:p>
    <w:p w:rsidR="007022FC" w:rsidRDefault="007022FC" w:rsidP="00431532">
      <w:pPr>
        <w:pStyle w:val="ListParagraph"/>
        <w:numPr>
          <w:ilvl w:val="0"/>
          <w:numId w:val="4"/>
        </w:numPr>
        <w:spacing w:line="360" w:lineRule="auto"/>
        <w:jc w:val="both"/>
      </w:pPr>
      <w:r>
        <w:t xml:space="preserve">The Court’s power to grant injunctions is wide-ranging, and is derived from the </w:t>
      </w:r>
      <w:r>
        <w:rPr>
          <w:b/>
          <w:bCs/>
        </w:rPr>
        <w:t>Senior Courts Act 1981, s37(1)</w:t>
      </w:r>
      <w:r>
        <w:t>, which provides:</w:t>
      </w:r>
    </w:p>
    <w:p w:rsidR="007022FC" w:rsidRDefault="007022FC" w:rsidP="00431532">
      <w:pPr>
        <w:pStyle w:val="ListParagraph"/>
        <w:spacing w:line="360" w:lineRule="auto"/>
        <w:ind w:left="360"/>
        <w:jc w:val="both"/>
      </w:pPr>
    </w:p>
    <w:p w:rsidR="007022FC" w:rsidRDefault="007022FC" w:rsidP="00431532">
      <w:pPr>
        <w:pStyle w:val="ListParagraph"/>
        <w:jc w:val="both"/>
        <w:rPr>
          <w:i/>
          <w:iCs/>
        </w:rPr>
      </w:pPr>
      <w:r w:rsidRPr="003562E3">
        <w:rPr>
          <w:i/>
          <w:iCs/>
        </w:rPr>
        <w:t>The High Court may by order (whether interlocutory or final) grant an injunction or appoint a receiver in all cases in which i</w:t>
      </w:r>
      <w:r>
        <w:rPr>
          <w:i/>
          <w:iCs/>
        </w:rPr>
        <w:t>t</w:t>
      </w:r>
      <w:r w:rsidRPr="003562E3">
        <w:rPr>
          <w:i/>
          <w:iCs/>
        </w:rPr>
        <w:t xml:space="preserve"> appears to the court to be just and convenient to do so. </w:t>
      </w:r>
    </w:p>
    <w:p w:rsidR="007022FC" w:rsidRPr="003562E3" w:rsidRDefault="007022FC" w:rsidP="00431532">
      <w:pPr>
        <w:pStyle w:val="ListParagraph"/>
        <w:spacing w:line="360" w:lineRule="auto"/>
        <w:jc w:val="both"/>
      </w:pPr>
    </w:p>
    <w:p w:rsidR="007022FC" w:rsidRDefault="007022FC" w:rsidP="00431532">
      <w:pPr>
        <w:pStyle w:val="ListParagraph"/>
        <w:numPr>
          <w:ilvl w:val="0"/>
          <w:numId w:val="4"/>
        </w:numPr>
        <w:spacing w:line="360" w:lineRule="auto"/>
        <w:jc w:val="both"/>
      </w:pPr>
      <w:r>
        <w:t xml:space="preserve">Following </w:t>
      </w:r>
      <w:r w:rsidRPr="00715643">
        <w:rPr>
          <w:b/>
          <w:bCs/>
          <w:i/>
          <w:iCs/>
        </w:rPr>
        <w:t>Wolverhampton</w:t>
      </w:r>
      <w:r>
        <w:rPr>
          <w:b/>
          <w:bCs/>
          <w:i/>
          <w:iCs/>
        </w:rPr>
        <w:t xml:space="preserve"> </w:t>
      </w:r>
      <w:r>
        <w:t>at [225]</w:t>
      </w:r>
      <w:r>
        <w:rPr>
          <w:i/>
          <w:iCs/>
        </w:rPr>
        <w:t xml:space="preserve">, </w:t>
      </w:r>
      <w:r>
        <w:t>newcomer injun</w:t>
      </w:r>
      <w:r w:rsidR="000D744F">
        <w:t>c</w:t>
      </w:r>
      <w:r>
        <w:t xml:space="preserve">tions are subject to an annual review (with some limited exceptions – see for example </w:t>
      </w:r>
      <w:r w:rsidRPr="00104B15">
        <w:rPr>
          <w:b/>
          <w:bCs/>
          <w:i/>
          <w:iCs/>
        </w:rPr>
        <w:t xml:space="preserve">MBR Acres Limited &amp; Ors v Curtin &amp; Persons Unknown </w:t>
      </w:r>
      <w:r w:rsidRPr="00104B15">
        <w:rPr>
          <w:b/>
          <w:bCs/>
        </w:rPr>
        <w:t xml:space="preserve">[2025] EWHC 331 (KB) </w:t>
      </w:r>
      <w:r>
        <w:t>(</w:t>
      </w:r>
      <w:r w:rsidRPr="00104B15">
        <w:rPr>
          <w:b/>
          <w:bCs/>
        </w:rPr>
        <w:t>‘</w:t>
      </w:r>
      <w:r w:rsidRPr="00104B15">
        <w:rPr>
          <w:b/>
          <w:bCs/>
          <w:i/>
          <w:iCs/>
        </w:rPr>
        <w:t>MBR Acres</w:t>
      </w:r>
      <w:r w:rsidRPr="00104B15">
        <w:rPr>
          <w:b/>
          <w:bCs/>
        </w:rPr>
        <w:t>’</w:t>
      </w:r>
      <w:r>
        <w:t>), where the review is scheduled to take place after two years).</w:t>
      </w:r>
    </w:p>
    <w:p w:rsidR="007022FC" w:rsidRDefault="007022FC" w:rsidP="00431532">
      <w:pPr>
        <w:spacing w:line="360" w:lineRule="auto"/>
      </w:pPr>
    </w:p>
    <w:p w:rsidR="007022FC" w:rsidRPr="00DE429F" w:rsidRDefault="007022FC" w:rsidP="00431532">
      <w:pPr>
        <w:pStyle w:val="ListParagraph"/>
        <w:numPr>
          <w:ilvl w:val="0"/>
          <w:numId w:val="4"/>
        </w:numPr>
        <w:spacing w:line="360" w:lineRule="auto"/>
        <w:jc w:val="both"/>
        <w:rPr>
          <w:color w:val="000000" w:themeColor="text1"/>
        </w:rPr>
      </w:pPr>
      <w:r>
        <w:t xml:space="preserve">The Supreme Court, in </w:t>
      </w:r>
      <w:r>
        <w:rPr>
          <w:b/>
          <w:bCs/>
          <w:i/>
          <w:iCs/>
        </w:rPr>
        <w:t xml:space="preserve">Wolverhampton </w:t>
      </w:r>
      <w:r>
        <w:t xml:space="preserve">at [225], expressed that the temporal limitation </w:t>
      </w:r>
      <w:r w:rsidRPr="00DE429F">
        <w:rPr>
          <w:color w:val="000000" w:themeColor="text1"/>
        </w:rPr>
        <w:t>and periodic review of newcomer injunctions:</w:t>
      </w:r>
    </w:p>
    <w:p w:rsidR="007022FC" w:rsidRPr="00DE429F" w:rsidRDefault="007022FC" w:rsidP="00431532">
      <w:pPr>
        <w:pStyle w:val="ListParagraph"/>
        <w:spacing w:line="360" w:lineRule="auto"/>
        <w:ind w:left="360"/>
        <w:rPr>
          <w:color w:val="000000" w:themeColor="text1"/>
        </w:rPr>
      </w:pPr>
    </w:p>
    <w:p w:rsidR="007022FC" w:rsidRPr="00DE429F" w:rsidRDefault="007022FC" w:rsidP="00431532">
      <w:pPr>
        <w:pStyle w:val="ListParagraph"/>
        <w:jc w:val="both"/>
        <w:rPr>
          <w:i/>
          <w:iCs/>
          <w:color w:val="000000" w:themeColor="text1"/>
        </w:rPr>
      </w:pPr>
      <w:r w:rsidRPr="00DE429F">
        <w:rPr>
          <w:i/>
          <w:iCs/>
          <w:color w:val="000000" w:themeColor="text1"/>
        </w:rPr>
        <w:t>give</w:t>
      </w:r>
      <w:r w:rsidRPr="00DE429F">
        <w:rPr>
          <w:color w:val="000000" w:themeColor="text1"/>
        </w:rPr>
        <w:t xml:space="preserve">[s] </w:t>
      </w:r>
      <w:r w:rsidRPr="00DE429F">
        <w:rPr>
          <w:i/>
          <w:iCs/>
          <w:color w:val="000000" w:themeColor="text1"/>
        </w:rPr>
        <w:t xml:space="preserve">all parties an opportunity to make full and complete disclosure to the court, supported by appropriate evidence, as to how effective the order has been; whether any reasons or grounds for its discharge have emerged; whether there is any proper justification for its continuance; and whether and on what basis a further order ought to be made. </w:t>
      </w:r>
    </w:p>
    <w:p w:rsidR="007022FC" w:rsidRPr="00420D33" w:rsidRDefault="007022FC" w:rsidP="00431532">
      <w:pPr>
        <w:spacing w:line="360" w:lineRule="auto"/>
        <w:jc w:val="both"/>
        <w:rPr>
          <w:color w:val="000000" w:themeColor="text1"/>
        </w:rPr>
      </w:pPr>
    </w:p>
    <w:p w:rsidR="007022FC" w:rsidRDefault="007022FC" w:rsidP="00431532">
      <w:pPr>
        <w:pStyle w:val="ListParagraph"/>
        <w:numPr>
          <w:ilvl w:val="0"/>
          <w:numId w:val="4"/>
        </w:numPr>
        <w:spacing w:line="360" w:lineRule="auto"/>
        <w:jc w:val="both"/>
        <w:rPr>
          <w:color w:val="000000" w:themeColor="text1"/>
        </w:rPr>
      </w:pPr>
      <w:r>
        <w:rPr>
          <w:color w:val="000000" w:themeColor="text1"/>
        </w:rPr>
        <w:t xml:space="preserve">Ritchie J, who was dealing with an application for the continuation of an interim injunction in </w:t>
      </w:r>
      <w:r>
        <w:rPr>
          <w:b/>
          <w:bCs/>
          <w:i/>
          <w:iCs/>
          <w:color w:val="000000" w:themeColor="text1"/>
        </w:rPr>
        <w:t xml:space="preserve">High Speed Two (HS2) Ltd v Persons Unknown </w:t>
      </w:r>
      <w:r>
        <w:rPr>
          <w:b/>
          <w:bCs/>
          <w:color w:val="000000" w:themeColor="text1"/>
        </w:rPr>
        <w:t>[2024] EWHC 1277 (KB) (‘</w:t>
      </w:r>
      <w:r w:rsidRPr="00CA12B6">
        <w:rPr>
          <w:b/>
          <w:bCs/>
          <w:i/>
          <w:iCs/>
          <w:color w:val="000000" w:themeColor="text1"/>
        </w:rPr>
        <w:t>HS2</w:t>
      </w:r>
      <w:r w:rsidRPr="00CA12B6">
        <w:rPr>
          <w:b/>
          <w:bCs/>
          <w:color w:val="000000" w:themeColor="text1"/>
        </w:rPr>
        <w:t>’</w:t>
      </w:r>
      <w:r>
        <w:rPr>
          <w:b/>
          <w:bCs/>
          <w:color w:val="000000" w:themeColor="text1"/>
        </w:rPr>
        <w:t>)</w:t>
      </w:r>
      <w:r>
        <w:rPr>
          <w:color w:val="000000" w:themeColor="text1"/>
        </w:rPr>
        <w:t>,</w:t>
      </w:r>
      <w:r>
        <w:rPr>
          <w:b/>
          <w:bCs/>
          <w:color w:val="000000" w:themeColor="text1"/>
        </w:rPr>
        <w:t xml:space="preserve"> </w:t>
      </w:r>
      <w:r w:rsidRPr="00CA12B6">
        <w:rPr>
          <w:color w:val="000000" w:themeColor="text1"/>
        </w:rPr>
        <w:t>considered</w:t>
      </w:r>
      <w:r>
        <w:rPr>
          <w:color w:val="000000" w:themeColor="text1"/>
        </w:rPr>
        <w:t xml:space="preserve"> how a review hearing should be approached:</w:t>
      </w:r>
    </w:p>
    <w:p w:rsidR="007022FC" w:rsidRPr="00DE429F" w:rsidRDefault="007022FC" w:rsidP="00431532">
      <w:pPr>
        <w:pStyle w:val="ListParagraph"/>
        <w:spacing w:line="360" w:lineRule="auto"/>
        <w:ind w:left="360"/>
        <w:rPr>
          <w:color w:val="000000" w:themeColor="text1"/>
        </w:rPr>
      </w:pPr>
    </w:p>
    <w:p w:rsidR="007022FC" w:rsidRPr="00DE429F" w:rsidRDefault="007022FC" w:rsidP="00431532">
      <w:pPr>
        <w:ind w:left="720"/>
        <w:jc w:val="both"/>
        <w:textAlignment w:val="baseline"/>
        <w:rPr>
          <w:i/>
          <w:iCs/>
          <w:color w:val="000000" w:themeColor="text1"/>
        </w:rPr>
      </w:pPr>
      <w:r w:rsidRPr="00DE429F">
        <w:rPr>
          <w:i/>
          <w:iCs/>
          <w:color w:val="000000" w:themeColor="text1"/>
        </w:rPr>
        <w:t>32.  Drawing these authorities together, on a review of an interim injunction against PUs and named Defendants, this Court is not starting de novo. The Judges who have previously made the interim injunctions have made findings justifying the interim injunctions. It is not the task of the Court on review to query or undermine those. However, it is vital to understand why they were made, to read and assimilate the findings, to understand the sub-strata of the quia timet, the reasons for the fear of unlawful direct action.</w:t>
      </w:r>
      <w:r w:rsidRPr="00DE429F">
        <w:rPr>
          <w:rStyle w:val="apple-converted-space"/>
          <w:i/>
          <w:iCs/>
          <w:color w:val="000000" w:themeColor="text1"/>
        </w:rPr>
        <w:t> </w:t>
      </w:r>
      <w:r w:rsidRPr="00DE429F">
        <w:rPr>
          <w:i/>
          <w:iCs/>
          <w:color w:val="000000" w:themeColor="text1"/>
        </w:rPr>
        <w:t>Then it is necessary to determine, on the evidence, whether anything material has changed. If nothing material has changed, if the risk still exists as before and the claimant remains rightly and justifiably fearful of unlawful attacks, the extension may be granted so long as procedural and legal rigour has been observed and fulfilled.</w:t>
      </w:r>
    </w:p>
    <w:p w:rsidR="007022FC" w:rsidRPr="00DE429F" w:rsidRDefault="007022FC" w:rsidP="00431532">
      <w:pPr>
        <w:ind w:left="720"/>
        <w:jc w:val="both"/>
        <w:textAlignment w:val="baseline"/>
        <w:rPr>
          <w:i/>
          <w:iCs/>
          <w:color w:val="000000" w:themeColor="text1"/>
        </w:rPr>
      </w:pPr>
    </w:p>
    <w:p w:rsidR="007022FC" w:rsidRPr="00DE429F" w:rsidRDefault="007022FC" w:rsidP="00431532">
      <w:pPr>
        <w:ind w:left="720"/>
        <w:jc w:val="both"/>
        <w:textAlignment w:val="baseline"/>
        <w:rPr>
          <w:i/>
          <w:iCs/>
          <w:color w:val="000000" w:themeColor="text1"/>
        </w:rPr>
      </w:pPr>
      <w:r w:rsidRPr="00DE429F">
        <w:rPr>
          <w:i/>
          <w:iCs/>
          <w:color w:val="000000" w:themeColor="text1"/>
        </w:rPr>
        <w:t>33.  On the other hand, if material matters have changed, the Court is required to analyse the changes, based on the evidence before it, and in the full light of the past decisions, to determine anew, whether the scope, details and need for the full interim injunction should be altered. To do so, the original thresholds for granting the interim injunction still apply.</w:t>
      </w:r>
    </w:p>
    <w:p w:rsidR="007022FC" w:rsidRPr="00304B7A" w:rsidRDefault="007022FC" w:rsidP="00431532">
      <w:pPr>
        <w:spacing w:line="360" w:lineRule="auto"/>
        <w:jc w:val="both"/>
        <w:rPr>
          <w:color w:val="000000" w:themeColor="text1"/>
        </w:rPr>
      </w:pPr>
    </w:p>
    <w:p w:rsidR="007022FC" w:rsidRDefault="007022FC" w:rsidP="00431532">
      <w:pPr>
        <w:pStyle w:val="ListParagraph"/>
        <w:numPr>
          <w:ilvl w:val="0"/>
          <w:numId w:val="4"/>
        </w:numPr>
        <w:spacing w:line="360" w:lineRule="auto"/>
        <w:jc w:val="both"/>
        <w:rPr>
          <w:color w:val="000000" w:themeColor="text1"/>
        </w:rPr>
      </w:pPr>
      <w:r>
        <w:rPr>
          <w:color w:val="000000" w:themeColor="text1"/>
        </w:rPr>
        <w:t xml:space="preserve">Morris J took the same approach in </w:t>
      </w:r>
      <w:r>
        <w:rPr>
          <w:b/>
          <w:bCs/>
          <w:i/>
          <w:iCs/>
          <w:color w:val="000000" w:themeColor="text1"/>
        </w:rPr>
        <w:t xml:space="preserve">Transport for London v Persons Unknown &amp; Ors </w:t>
      </w:r>
      <w:r>
        <w:rPr>
          <w:b/>
          <w:bCs/>
          <w:color w:val="000000" w:themeColor="text1"/>
        </w:rPr>
        <w:t>[2025] EWHC 55 (KB) (‘</w:t>
      </w:r>
      <w:r>
        <w:rPr>
          <w:b/>
          <w:bCs/>
          <w:i/>
          <w:iCs/>
          <w:color w:val="000000" w:themeColor="text1"/>
        </w:rPr>
        <w:t>TfL’</w:t>
      </w:r>
      <w:r>
        <w:rPr>
          <w:b/>
          <w:bCs/>
          <w:color w:val="000000" w:themeColor="text1"/>
        </w:rPr>
        <w:t xml:space="preserve">), </w:t>
      </w:r>
      <w:r>
        <w:rPr>
          <w:color w:val="000000" w:themeColor="text1"/>
        </w:rPr>
        <w:t>specifically at [54]-[55]. At [55], his Lordship said:</w:t>
      </w:r>
    </w:p>
    <w:p w:rsidR="007022FC" w:rsidRDefault="007022FC" w:rsidP="00431532">
      <w:pPr>
        <w:pStyle w:val="ListParagraph"/>
        <w:spacing w:line="360" w:lineRule="auto"/>
        <w:ind w:left="360"/>
        <w:jc w:val="both"/>
        <w:rPr>
          <w:color w:val="000000" w:themeColor="text1"/>
        </w:rPr>
      </w:pPr>
    </w:p>
    <w:p w:rsidR="007022FC" w:rsidRPr="00E33FF4" w:rsidRDefault="007022FC" w:rsidP="00431532">
      <w:pPr>
        <w:pStyle w:val="ListParagraph"/>
        <w:jc w:val="both"/>
        <w:rPr>
          <w:i/>
          <w:iCs/>
          <w:color w:val="000000" w:themeColor="text1"/>
        </w:rPr>
      </w:pPr>
      <w:r w:rsidRPr="00E33FF4">
        <w:rPr>
          <w:i/>
          <w:iCs/>
          <w:color w:val="000000" w:themeColor="text1"/>
          <w:shd w:val="clear" w:color="auto" w:fill="FFFFFF"/>
        </w:rPr>
        <w:t>In the present cases, TfL has already provided detailed evidence at a full trial and the Court has, on two occasions, already made a full determination of the issue of risk and the balance of interests. In my judgment, in those circumstances there needed to be some material change in order to justify a conclusion that the Final Injunctions should not continue. (For example, as in the</w:t>
      </w:r>
      <w:r w:rsidRPr="00E33FF4">
        <w:rPr>
          <w:rStyle w:val="apple-converted-space"/>
          <w:i/>
          <w:iCs/>
          <w:color w:val="000000" w:themeColor="text1"/>
          <w:shd w:val="clear" w:color="auto" w:fill="FFFFFF"/>
        </w:rPr>
        <w:t> </w:t>
      </w:r>
      <w:r w:rsidRPr="00E33FF4">
        <w:rPr>
          <w:rStyle w:val="coitalic"/>
          <w:i/>
          <w:iCs/>
          <w:color w:val="000000" w:themeColor="text1"/>
          <w:bdr w:val="none" w:sz="0" w:space="0" w:color="auto" w:frame="1"/>
        </w:rPr>
        <w:t>HS2</w:t>
      </w:r>
      <w:r w:rsidRPr="00E33FF4">
        <w:rPr>
          <w:rStyle w:val="apple-converted-space"/>
          <w:i/>
          <w:iCs/>
          <w:color w:val="000000" w:themeColor="text1"/>
          <w:shd w:val="clear" w:color="auto" w:fill="FFFFFF"/>
        </w:rPr>
        <w:t> </w:t>
      </w:r>
      <w:r w:rsidRPr="00E33FF4">
        <w:rPr>
          <w:i/>
          <w:iCs/>
          <w:color w:val="000000" w:themeColor="text1"/>
          <w:shd w:val="clear" w:color="auto" w:fill="FFFFFF"/>
        </w:rPr>
        <w:t>case where Phase 2 of the HS project had subsequently been abandoned: see paragraph 40 above).</w:t>
      </w:r>
    </w:p>
    <w:p w:rsidR="007022FC" w:rsidRDefault="007022FC" w:rsidP="00431532">
      <w:pPr>
        <w:pStyle w:val="ListParagraph"/>
        <w:spacing w:line="360" w:lineRule="auto"/>
        <w:ind w:left="360"/>
        <w:rPr>
          <w:color w:val="000000" w:themeColor="text1"/>
        </w:rPr>
      </w:pPr>
    </w:p>
    <w:p w:rsidR="007022FC" w:rsidRPr="00420D33" w:rsidRDefault="007022FC" w:rsidP="00431532">
      <w:pPr>
        <w:pStyle w:val="ListParagraph"/>
        <w:numPr>
          <w:ilvl w:val="0"/>
          <w:numId w:val="4"/>
        </w:numPr>
        <w:spacing w:line="360" w:lineRule="auto"/>
        <w:jc w:val="both"/>
        <w:rPr>
          <w:color w:val="000000" w:themeColor="text1"/>
        </w:rPr>
      </w:pPr>
      <w:r>
        <w:rPr>
          <w:color w:val="000000" w:themeColor="text1"/>
        </w:rPr>
        <w:t xml:space="preserve">This approach was approved and applied by Hill J in the annual review in </w:t>
      </w:r>
      <w:r>
        <w:rPr>
          <w:b/>
          <w:bCs/>
          <w:i/>
          <w:iCs/>
          <w:color w:val="000000" w:themeColor="text1"/>
        </w:rPr>
        <w:t xml:space="preserve">Valero Energy Ltd v Persons Unknown </w:t>
      </w:r>
      <w:r>
        <w:rPr>
          <w:b/>
          <w:bCs/>
          <w:color w:val="000000" w:themeColor="text1"/>
        </w:rPr>
        <w:t>[2025] EWHC 207 (KB) (‘</w:t>
      </w:r>
      <w:r>
        <w:rPr>
          <w:b/>
          <w:bCs/>
          <w:i/>
          <w:iCs/>
          <w:color w:val="000000" w:themeColor="text1"/>
        </w:rPr>
        <w:t>Valero 2025’</w:t>
      </w:r>
      <w:r>
        <w:rPr>
          <w:color w:val="000000" w:themeColor="text1"/>
        </w:rPr>
        <w:t>)</w:t>
      </w:r>
      <w:r>
        <w:rPr>
          <w:b/>
          <w:bCs/>
          <w:color w:val="000000" w:themeColor="text1"/>
        </w:rPr>
        <w:t>.</w:t>
      </w:r>
      <w:r w:rsidRPr="005731CB">
        <w:rPr>
          <w:rStyle w:val="FootnoteReference"/>
          <w:b/>
          <w:bCs/>
          <w:color w:val="000000" w:themeColor="text1"/>
        </w:rPr>
        <w:t xml:space="preserve"> </w:t>
      </w:r>
    </w:p>
    <w:p w:rsidR="007022FC" w:rsidRPr="002B46AB" w:rsidRDefault="007022FC" w:rsidP="00431532">
      <w:pPr>
        <w:pStyle w:val="ListParagraph"/>
        <w:spacing w:line="360" w:lineRule="auto"/>
        <w:ind w:left="360"/>
        <w:jc w:val="both"/>
        <w:rPr>
          <w:color w:val="000000" w:themeColor="text1"/>
        </w:rPr>
      </w:pPr>
    </w:p>
    <w:p w:rsidR="007022FC" w:rsidRDefault="007022FC" w:rsidP="00431532">
      <w:pPr>
        <w:pStyle w:val="ListParagraph"/>
        <w:numPr>
          <w:ilvl w:val="0"/>
          <w:numId w:val="4"/>
        </w:numPr>
        <w:spacing w:line="360" w:lineRule="auto"/>
        <w:jc w:val="both"/>
      </w:pPr>
      <w:r>
        <w:t xml:space="preserve">The question of the proper approach to a review hearing was again examined in a sequence of three cases throughout the spring of 2025: </w:t>
      </w:r>
      <w:r w:rsidRPr="003562E3">
        <w:rPr>
          <w:b/>
          <w:bCs/>
          <w:i/>
          <w:iCs/>
        </w:rPr>
        <w:t>Basingstoke</w:t>
      </w:r>
      <w:r>
        <w:rPr>
          <w:b/>
          <w:bCs/>
        </w:rPr>
        <w:t xml:space="preserve"> </w:t>
      </w:r>
      <w:r>
        <w:rPr>
          <w:b/>
          <w:bCs/>
          <w:i/>
          <w:iCs/>
        </w:rPr>
        <w:t xml:space="preserve">and Deane BC &amp; Anr v Persons Unknown </w:t>
      </w:r>
      <w:r>
        <w:rPr>
          <w:b/>
          <w:bCs/>
        </w:rPr>
        <w:t xml:space="preserve">[2025] EWHC 738 (KB) </w:t>
      </w:r>
      <w:r>
        <w:t>(</w:t>
      </w:r>
      <w:r>
        <w:rPr>
          <w:b/>
          <w:bCs/>
        </w:rPr>
        <w:t>‘</w:t>
      </w:r>
      <w:r>
        <w:rPr>
          <w:b/>
          <w:bCs/>
          <w:i/>
          <w:iCs/>
        </w:rPr>
        <w:t>Basingstoke</w:t>
      </w:r>
      <w:r>
        <w:rPr>
          <w:b/>
          <w:bCs/>
        </w:rPr>
        <w:t>’</w:t>
      </w:r>
      <w:r>
        <w:t xml:space="preserve">), </w:t>
      </w:r>
      <w:r>
        <w:rPr>
          <w:b/>
          <w:bCs/>
          <w:i/>
          <w:iCs/>
        </w:rPr>
        <w:t xml:space="preserve">Test Valley BC v Persons Unknown </w:t>
      </w:r>
      <w:r>
        <w:rPr>
          <w:b/>
          <w:bCs/>
        </w:rPr>
        <w:t xml:space="preserve">(KB) </w:t>
      </w:r>
      <w:r>
        <w:t xml:space="preserve">(9 May 2025, unrep.) </w:t>
      </w:r>
      <w:r w:rsidRPr="004D3C9A">
        <w:t>and</w:t>
      </w:r>
      <w:r>
        <w:t xml:space="preserve"> in </w:t>
      </w:r>
      <w:r>
        <w:rPr>
          <w:b/>
          <w:bCs/>
          <w:i/>
          <w:iCs/>
        </w:rPr>
        <w:t xml:space="preserve">Rochdale MBC v Persons Unknown </w:t>
      </w:r>
      <w:r>
        <w:rPr>
          <w:b/>
          <w:bCs/>
        </w:rPr>
        <w:t xml:space="preserve">[2025] EWHC 1314 (KB) </w:t>
      </w:r>
      <w:r>
        <w:t>(</w:t>
      </w:r>
      <w:r>
        <w:rPr>
          <w:b/>
          <w:bCs/>
        </w:rPr>
        <w:t>‘</w:t>
      </w:r>
      <w:r>
        <w:rPr>
          <w:b/>
          <w:bCs/>
          <w:i/>
          <w:iCs/>
        </w:rPr>
        <w:t>Rochdale</w:t>
      </w:r>
      <w:r>
        <w:rPr>
          <w:b/>
          <w:bCs/>
        </w:rPr>
        <w:t>’</w:t>
      </w:r>
      <w:r>
        <w:t xml:space="preserve">)). Leaving aside </w:t>
      </w:r>
      <w:r>
        <w:rPr>
          <w:b/>
          <w:bCs/>
          <w:i/>
          <w:iCs/>
        </w:rPr>
        <w:t>Basingstoke</w:t>
      </w:r>
      <w:r>
        <w:t xml:space="preserve">, the </w:t>
      </w:r>
      <w:r w:rsidRPr="00D575AA">
        <w:rPr>
          <w:b/>
          <w:bCs/>
          <w:i/>
          <w:iCs/>
        </w:rPr>
        <w:t>HS2/</w:t>
      </w:r>
      <w:r>
        <w:rPr>
          <w:b/>
          <w:bCs/>
          <w:i/>
          <w:iCs/>
        </w:rPr>
        <w:t xml:space="preserve">TfL/Valero 2025 </w:t>
      </w:r>
      <w:r>
        <w:t xml:space="preserve">approach was followed. </w:t>
      </w:r>
    </w:p>
    <w:p w:rsidR="007022FC" w:rsidRDefault="007022FC" w:rsidP="00431532">
      <w:pPr>
        <w:pStyle w:val="ListParagraph"/>
        <w:spacing w:line="360" w:lineRule="auto"/>
      </w:pPr>
    </w:p>
    <w:p w:rsidR="007022FC" w:rsidRDefault="007022FC" w:rsidP="00431532">
      <w:pPr>
        <w:pStyle w:val="ListParagraph"/>
        <w:numPr>
          <w:ilvl w:val="0"/>
          <w:numId w:val="4"/>
        </w:numPr>
        <w:spacing w:line="360" w:lineRule="auto"/>
        <w:jc w:val="both"/>
      </w:pPr>
      <w:r>
        <w:t xml:space="preserve">In </w:t>
      </w:r>
      <w:r>
        <w:rPr>
          <w:b/>
          <w:bCs/>
          <w:i/>
          <w:iCs/>
        </w:rPr>
        <w:t>Rochdale</w:t>
      </w:r>
      <w:r>
        <w:t xml:space="preserve">, Garnham J summarised the case law (at [42]-[52]), noting that </w:t>
      </w:r>
      <w:r>
        <w:rPr>
          <w:b/>
          <w:bCs/>
          <w:i/>
          <w:iCs/>
        </w:rPr>
        <w:t xml:space="preserve">Basingstoke </w:t>
      </w:r>
      <w:r>
        <w:t>was an outlier in the approach that was taken. His Lordship held, at [51]:</w:t>
      </w:r>
    </w:p>
    <w:p w:rsidR="007022FC" w:rsidRDefault="007022FC" w:rsidP="00431532">
      <w:pPr>
        <w:pStyle w:val="ListParagraph"/>
        <w:spacing w:line="360" w:lineRule="auto"/>
      </w:pPr>
    </w:p>
    <w:p w:rsidR="007022FC" w:rsidRDefault="007022FC" w:rsidP="00431532">
      <w:pPr>
        <w:pStyle w:val="ListParagraph"/>
        <w:jc w:val="both"/>
        <w:rPr>
          <w:i/>
          <w:iCs/>
        </w:rPr>
      </w:pPr>
      <w:r>
        <w:rPr>
          <w:i/>
          <w:iCs/>
        </w:rPr>
        <w:t>In my judgment the correct approach is dictated by the Supreme Court’s judgment in Wolverhampton and in particular [225]. This is not a “tick box” exercise, but the matters on which evidence should be adduced and argument focussed are (i) how effective the order has been; (ii) whether any reasons or grounds for its discharge have emerged; (iii) whether there is any proper justification for its continuance; and (iv) whether and on what basis a further order ought to be made. The parties should give full disclosure, supported by appropriate evidence, directed towards those questions.</w:t>
      </w:r>
    </w:p>
    <w:p w:rsidR="007022FC" w:rsidRDefault="007022FC" w:rsidP="00431532">
      <w:pPr>
        <w:pStyle w:val="ListParagraph"/>
        <w:spacing w:line="360" w:lineRule="auto"/>
        <w:jc w:val="both"/>
        <w:rPr>
          <w:i/>
          <w:iCs/>
        </w:rPr>
      </w:pPr>
    </w:p>
    <w:p w:rsidR="007022FC" w:rsidRDefault="007022FC" w:rsidP="00431532">
      <w:pPr>
        <w:pStyle w:val="ListParagraph"/>
        <w:spacing w:line="360" w:lineRule="auto"/>
        <w:ind w:left="357"/>
        <w:jc w:val="both"/>
      </w:pPr>
      <w:r>
        <w:t>The Judge proceeded to test the continuation application by reference to those four criteria, and whether there had been a material change of circumstances.</w:t>
      </w:r>
    </w:p>
    <w:p w:rsidR="007022FC" w:rsidRDefault="007022FC" w:rsidP="00431532">
      <w:pPr>
        <w:spacing w:line="360" w:lineRule="auto"/>
        <w:jc w:val="both"/>
      </w:pPr>
    </w:p>
    <w:p w:rsidR="007022FC" w:rsidRDefault="007022FC" w:rsidP="00431532">
      <w:pPr>
        <w:pStyle w:val="ListParagraph"/>
        <w:numPr>
          <w:ilvl w:val="0"/>
          <w:numId w:val="4"/>
        </w:numPr>
        <w:spacing w:line="360" w:lineRule="auto"/>
        <w:jc w:val="both"/>
      </w:pPr>
      <w:r w:rsidRPr="00D575AA">
        <w:rPr>
          <w:b/>
          <w:bCs/>
          <w:i/>
          <w:iCs/>
        </w:rPr>
        <w:t>Rochdale</w:t>
      </w:r>
      <w:r>
        <w:t xml:space="preserve">, or at least the </w:t>
      </w:r>
      <w:r>
        <w:rPr>
          <w:b/>
          <w:bCs/>
          <w:i/>
          <w:iCs/>
        </w:rPr>
        <w:t xml:space="preserve">HS2/TfL/Valero 2025 </w:t>
      </w:r>
      <w:r>
        <w:t xml:space="preserve">approach, has been cited and followed in all subsequent annual reviews of </w:t>
      </w:r>
      <w:r>
        <w:rPr>
          <w:b/>
          <w:bCs/>
          <w:i/>
          <w:iCs/>
        </w:rPr>
        <w:t xml:space="preserve">Wolverhampton </w:t>
      </w:r>
      <w:r>
        <w:t>injunctions</w:t>
      </w:r>
      <w:r w:rsidR="0098704A">
        <w:t xml:space="preserve"> (whether protest or Traveller injunctions)</w:t>
      </w:r>
      <w:r>
        <w:t>.</w:t>
      </w:r>
      <w:r>
        <w:rPr>
          <w:rStyle w:val="FootnoteReference"/>
        </w:rPr>
        <w:footnoteReference w:id="1"/>
      </w:r>
    </w:p>
    <w:p w:rsidR="007022FC" w:rsidRDefault="007022FC" w:rsidP="00431532">
      <w:pPr>
        <w:pStyle w:val="ListParagraph"/>
        <w:spacing w:line="360" w:lineRule="auto"/>
        <w:ind w:left="357"/>
        <w:jc w:val="both"/>
      </w:pPr>
    </w:p>
    <w:p w:rsidR="007022FC" w:rsidRDefault="007022FC" w:rsidP="00431532">
      <w:pPr>
        <w:pStyle w:val="ListParagraph"/>
        <w:numPr>
          <w:ilvl w:val="0"/>
          <w:numId w:val="4"/>
        </w:numPr>
        <w:spacing w:line="360" w:lineRule="auto"/>
        <w:jc w:val="both"/>
      </w:pPr>
      <w:r>
        <w:t xml:space="preserve">In </w:t>
      </w:r>
      <w:r>
        <w:rPr>
          <w:b/>
          <w:bCs/>
          <w:i/>
          <w:iCs/>
        </w:rPr>
        <w:t xml:space="preserve">Esso, </w:t>
      </w:r>
      <w:r>
        <w:t xml:space="preserve">Sweeting J, at [7]-[8] expressly approved of and applied the approach in </w:t>
      </w:r>
      <w:r w:rsidRPr="002538CA">
        <w:rPr>
          <w:b/>
          <w:bCs/>
          <w:i/>
          <w:iCs/>
        </w:rPr>
        <w:t>Rochdale</w:t>
      </w:r>
      <w:r>
        <w:t>, stating:</w:t>
      </w:r>
    </w:p>
    <w:p w:rsidR="007022FC" w:rsidRDefault="007022FC" w:rsidP="00431532">
      <w:pPr>
        <w:pStyle w:val="ListParagraph"/>
        <w:spacing w:line="360" w:lineRule="auto"/>
      </w:pPr>
    </w:p>
    <w:p w:rsidR="007022FC" w:rsidRPr="002538CA" w:rsidRDefault="007022FC" w:rsidP="00431532">
      <w:pPr>
        <w:pStyle w:val="ListParagraph"/>
        <w:jc w:val="both"/>
        <w:rPr>
          <w:i/>
          <w:iCs/>
        </w:rPr>
      </w:pPr>
      <w:r>
        <w:rPr>
          <w:i/>
          <w:iCs/>
        </w:rPr>
        <w:t>…this is the practical and proportionate way to approach a review ordered as part of the original grant or relief. Such a review is also an opportunity to make necessary adjustments in light of the experience of the practical operation of the injunction and changing circumstances. The Court should nevertheless be wary of embarking upon fundamental changes to the scope or nature of injunctive relief at a review hearing rather than requiring a further and full application to be made. I also bear in mind that there is no legal presumption of continuance.</w:t>
      </w:r>
    </w:p>
    <w:p w:rsidR="007022FC" w:rsidRPr="00D575AA" w:rsidRDefault="007022FC" w:rsidP="00431532">
      <w:pPr>
        <w:spacing w:line="360" w:lineRule="auto"/>
        <w:jc w:val="both"/>
        <w:rPr>
          <w:b/>
          <w:bCs/>
          <w:u w:val="single"/>
        </w:rPr>
      </w:pPr>
    </w:p>
    <w:p w:rsidR="007022FC" w:rsidRPr="00DF540F" w:rsidRDefault="007022FC" w:rsidP="00431532">
      <w:pPr>
        <w:pStyle w:val="ListParagraph"/>
        <w:numPr>
          <w:ilvl w:val="0"/>
          <w:numId w:val="4"/>
        </w:numPr>
        <w:spacing w:line="360" w:lineRule="auto"/>
        <w:jc w:val="both"/>
        <w:rPr>
          <w:b/>
          <w:bCs/>
          <w:u w:val="single"/>
        </w:rPr>
      </w:pPr>
      <w:r>
        <w:t xml:space="preserve">Therefore, it is submitted that, where there is no material change of circumstance, the </w:t>
      </w:r>
      <w:r>
        <w:rPr>
          <w:b/>
          <w:bCs/>
          <w:i/>
          <w:iCs/>
        </w:rPr>
        <w:t xml:space="preserve">Rochdale </w:t>
      </w:r>
      <w:r>
        <w:t xml:space="preserve">approach should be followed, with the same now being well-established law. Only if there is a material change of circumstance, or some other exceptional factor, should a </w:t>
      </w:r>
      <w:r>
        <w:rPr>
          <w:i/>
          <w:iCs/>
        </w:rPr>
        <w:t xml:space="preserve">de novo </w:t>
      </w:r>
      <w:r>
        <w:t xml:space="preserve">hearing be conducted. </w:t>
      </w:r>
    </w:p>
    <w:p w:rsidR="0035327B" w:rsidRDefault="0035327B" w:rsidP="00431532">
      <w:pPr>
        <w:spacing w:line="360" w:lineRule="auto"/>
        <w:jc w:val="both"/>
        <w:rPr>
          <w:b/>
          <w:bCs/>
        </w:rPr>
      </w:pPr>
    </w:p>
    <w:p w:rsidR="0035327B" w:rsidRDefault="0035327B" w:rsidP="00431532">
      <w:pPr>
        <w:spacing w:line="360" w:lineRule="auto"/>
        <w:jc w:val="both"/>
        <w:rPr>
          <w:b/>
          <w:bCs/>
        </w:rPr>
      </w:pPr>
      <w:r w:rsidRPr="00572B9D">
        <w:rPr>
          <w:b/>
          <w:bCs/>
        </w:rPr>
        <w:t xml:space="preserve">The </w:t>
      </w:r>
      <w:r>
        <w:rPr>
          <w:b/>
          <w:bCs/>
          <w:i/>
          <w:iCs/>
        </w:rPr>
        <w:t xml:space="preserve">Wolverhampton </w:t>
      </w:r>
      <w:r w:rsidRPr="00572B9D">
        <w:rPr>
          <w:b/>
          <w:bCs/>
        </w:rPr>
        <w:t>requirements</w:t>
      </w:r>
    </w:p>
    <w:p w:rsidR="0035327B" w:rsidRDefault="0035327B" w:rsidP="00431532">
      <w:pPr>
        <w:spacing w:line="360" w:lineRule="auto"/>
        <w:jc w:val="both"/>
        <w:rPr>
          <w:b/>
          <w:bCs/>
          <w:i/>
          <w:iCs/>
        </w:rPr>
      </w:pPr>
    </w:p>
    <w:p w:rsidR="0035327B" w:rsidRDefault="0035327B" w:rsidP="00431532">
      <w:pPr>
        <w:pStyle w:val="ListParagraph"/>
        <w:numPr>
          <w:ilvl w:val="0"/>
          <w:numId w:val="4"/>
        </w:numPr>
        <w:spacing w:line="360" w:lineRule="auto"/>
        <w:jc w:val="both"/>
      </w:pPr>
      <w:r>
        <w:t xml:space="preserve">Whilst the Claimant’s position is that a full </w:t>
      </w:r>
      <w:r>
        <w:rPr>
          <w:b/>
          <w:bCs/>
          <w:i/>
          <w:iCs/>
        </w:rPr>
        <w:t>Wolverhampton</w:t>
      </w:r>
      <w:r>
        <w:t>-style</w:t>
      </w:r>
      <w:r>
        <w:rPr>
          <w:b/>
          <w:bCs/>
          <w:i/>
          <w:iCs/>
        </w:rPr>
        <w:t xml:space="preserve"> </w:t>
      </w:r>
      <w:r>
        <w:t xml:space="preserve">assessment does not fall to be conducted at this hearing, the Claimant appreciates that the court will likely still wish to be appraised of the pertinent considerations from the same. The below is presented accordingly. </w:t>
      </w:r>
    </w:p>
    <w:p w:rsidR="0035327B" w:rsidRDefault="0035327B" w:rsidP="00431532">
      <w:pPr>
        <w:pStyle w:val="ListParagraph"/>
        <w:spacing w:line="360" w:lineRule="auto"/>
        <w:ind w:left="360"/>
        <w:jc w:val="both"/>
      </w:pPr>
    </w:p>
    <w:p w:rsidR="0035327B" w:rsidRPr="007E7AF3" w:rsidRDefault="0035327B" w:rsidP="00431532">
      <w:pPr>
        <w:pStyle w:val="ListParagraph"/>
        <w:numPr>
          <w:ilvl w:val="0"/>
          <w:numId w:val="4"/>
        </w:numPr>
        <w:spacing w:line="360" w:lineRule="auto"/>
        <w:jc w:val="both"/>
        <w:rPr>
          <w:rFonts w:cs="Times New Roman"/>
          <w:bCs/>
        </w:rPr>
      </w:pPr>
      <w:r w:rsidRPr="007E7AF3">
        <w:rPr>
          <w:rFonts w:cs="Times New Roman"/>
          <w:bCs/>
        </w:rPr>
        <w:t>Injunctive relief may be granted wherever the court considers it ‘just and convenient’ to do so (</w:t>
      </w:r>
      <w:r w:rsidRPr="007E7AF3">
        <w:rPr>
          <w:rFonts w:cs="Times New Roman"/>
          <w:b/>
        </w:rPr>
        <w:t>Senior Courts Act 1981, s37</w:t>
      </w:r>
      <w:r w:rsidRPr="007E7AF3">
        <w:rPr>
          <w:rFonts w:cs="Times New Roman"/>
          <w:bCs/>
        </w:rPr>
        <w:t xml:space="preserve">). </w:t>
      </w:r>
    </w:p>
    <w:p w:rsidR="0035327B" w:rsidRPr="007E7AF3" w:rsidRDefault="0035327B" w:rsidP="00431532">
      <w:pPr>
        <w:pStyle w:val="ListParagraph"/>
        <w:spacing w:line="360" w:lineRule="auto"/>
        <w:ind w:left="360"/>
        <w:jc w:val="both"/>
        <w:rPr>
          <w:rFonts w:cs="Times New Roman"/>
          <w:bCs/>
        </w:rPr>
      </w:pPr>
    </w:p>
    <w:p w:rsidR="0035327B" w:rsidRPr="007E7AF3" w:rsidRDefault="0035327B" w:rsidP="00431532">
      <w:pPr>
        <w:pStyle w:val="ListParagraph"/>
        <w:numPr>
          <w:ilvl w:val="0"/>
          <w:numId w:val="4"/>
        </w:numPr>
        <w:spacing w:line="360" w:lineRule="auto"/>
        <w:jc w:val="both"/>
        <w:rPr>
          <w:rFonts w:cs="Times New Roman"/>
        </w:rPr>
      </w:pPr>
      <w:r w:rsidRPr="007E7AF3">
        <w:rPr>
          <w:rFonts w:cs="Times New Roman"/>
        </w:rPr>
        <w:t xml:space="preserve">Following </w:t>
      </w:r>
      <w:r w:rsidRPr="007E7AF3">
        <w:rPr>
          <w:rFonts w:cs="Times New Roman"/>
          <w:b/>
          <w:bCs/>
          <w:i/>
          <w:iCs/>
        </w:rPr>
        <w:t>Wolverhampton</w:t>
      </w:r>
      <w:r w:rsidRPr="007E7AF3">
        <w:rPr>
          <w:rFonts w:cs="Times New Roman"/>
        </w:rPr>
        <w:t xml:space="preserve">, any claim and application for injunctive relief against newcomer Persons Unknown is to be treated differently to those against named defendants. Throughout the course of its judgment, the Supreme Court examined the distinguishing features of such injunctions and, of particular importance, the principles that govern when such relief can and should be granted (ie. when it would be just and convenient to grant such relief). The court’s attention is specifically directed to [167] and [188]-[237] of </w:t>
      </w:r>
      <w:r w:rsidRPr="007E7AF3">
        <w:rPr>
          <w:rFonts w:cs="Times New Roman"/>
          <w:b/>
          <w:bCs/>
          <w:i/>
          <w:iCs/>
        </w:rPr>
        <w:t>Wolverhampton</w:t>
      </w:r>
      <w:r w:rsidRPr="007E7AF3">
        <w:rPr>
          <w:rFonts w:cs="Times New Roman"/>
        </w:rPr>
        <w:t>.</w:t>
      </w:r>
    </w:p>
    <w:p w:rsidR="0035327B" w:rsidRPr="007E7AF3" w:rsidRDefault="0035327B" w:rsidP="00431532">
      <w:pPr>
        <w:pStyle w:val="ListParagraph"/>
        <w:spacing w:line="360" w:lineRule="auto"/>
        <w:ind w:left="360"/>
        <w:jc w:val="both"/>
        <w:rPr>
          <w:rFonts w:cs="Times New Roman"/>
        </w:rPr>
      </w:pPr>
      <w:r w:rsidRPr="007E7AF3">
        <w:rPr>
          <w:rFonts w:cs="Times New Roman"/>
        </w:rPr>
        <w:t xml:space="preserve"> </w:t>
      </w:r>
    </w:p>
    <w:p w:rsidR="0035327B" w:rsidRPr="007E7AF3" w:rsidRDefault="0035327B" w:rsidP="00431532">
      <w:pPr>
        <w:pStyle w:val="ListParagraph"/>
        <w:numPr>
          <w:ilvl w:val="0"/>
          <w:numId w:val="4"/>
        </w:numPr>
        <w:spacing w:line="360" w:lineRule="auto"/>
        <w:jc w:val="both"/>
        <w:rPr>
          <w:rFonts w:cs="Times New Roman"/>
        </w:rPr>
      </w:pPr>
      <w:r w:rsidRPr="007E7AF3">
        <w:rPr>
          <w:rFonts w:eastAsia="Book Antiqua" w:cs="Times New Roman"/>
          <w:color w:val="000000"/>
        </w:rPr>
        <w:t xml:space="preserve">In this context, </w:t>
      </w:r>
      <w:r w:rsidRPr="007E7AF3">
        <w:rPr>
          <w:rFonts w:cs="Times New Roman"/>
        </w:rPr>
        <w:t xml:space="preserve">there is no meaningful difference between interim and final injunctive relief: </w:t>
      </w:r>
      <w:r w:rsidRPr="007E7AF3">
        <w:rPr>
          <w:rFonts w:cs="Times New Roman"/>
          <w:b/>
          <w:bCs/>
          <w:i/>
          <w:iCs/>
        </w:rPr>
        <w:t xml:space="preserve">Wolverhampton </w:t>
      </w:r>
      <w:r w:rsidRPr="007E7AF3">
        <w:rPr>
          <w:rFonts w:cs="Times New Roman"/>
        </w:rPr>
        <w:t>at [139], [143(vii)], [178] and [234]</w:t>
      </w:r>
      <w:r w:rsidR="002666FB">
        <w:rPr>
          <w:rFonts w:cs="Times New Roman"/>
        </w:rPr>
        <w:t>.</w:t>
      </w:r>
    </w:p>
    <w:p w:rsidR="0035327B" w:rsidRPr="007E7AF3" w:rsidRDefault="0035327B" w:rsidP="00431532">
      <w:pPr>
        <w:spacing w:line="360" w:lineRule="auto"/>
        <w:jc w:val="both"/>
        <w:rPr>
          <w:rFonts w:cs="Times New Roman"/>
        </w:rPr>
      </w:pPr>
    </w:p>
    <w:p w:rsidR="0035327B" w:rsidRPr="007E7AF3" w:rsidRDefault="0035327B" w:rsidP="00431532">
      <w:pPr>
        <w:pStyle w:val="ListParagraph"/>
        <w:numPr>
          <w:ilvl w:val="0"/>
          <w:numId w:val="4"/>
        </w:numPr>
        <w:spacing w:line="360" w:lineRule="auto"/>
        <w:jc w:val="both"/>
        <w:rPr>
          <w:rFonts w:cs="Times New Roman"/>
        </w:rPr>
      </w:pPr>
      <w:r w:rsidRPr="007E7AF3">
        <w:rPr>
          <w:rFonts w:cs="Times New Roman"/>
        </w:rPr>
        <w:t>The overarching consideration post-</w:t>
      </w:r>
      <w:r w:rsidRPr="007E7AF3">
        <w:rPr>
          <w:rFonts w:cs="Times New Roman"/>
          <w:b/>
          <w:bCs/>
          <w:i/>
          <w:iCs/>
        </w:rPr>
        <w:t>Wolverhampton</w:t>
      </w:r>
      <w:r w:rsidRPr="007E7AF3">
        <w:rPr>
          <w:rFonts w:cs="Times New Roman"/>
        </w:rPr>
        <w:t xml:space="preserve"> is that the claimant must show a ‘compelling need’ for the order sought (</w:t>
      </w:r>
      <w:r w:rsidRPr="007E7AF3">
        <w:rPr>
          <w:rFonts w:cs="Times New Roman"/>
          <w:b/>
          <w:bCs/>
          <w:i/>
          <w:iCs/>
        </w:rPr>
        <w:t xml:space="preserve">Wolverhampton </w:t>
      </w:r>
      <w:r w:rsidRPr="007E7AF3">
        <w:rPr>
          <w:rFonts w:cs="Times New Roman"/>
        </w:rPr>
        <w:t xml:space="preserve">at [167(i)] and [188]). The key substantive test is set out in [218] as: </w:t>
      </w:r>
    </w:p>
    <w:p w:rsidR="0035327B" w:rsidRPr="007E7AF3" w:rsidRDefault="0035327B" w:rsidP="00431532">
      <w:pPr>
        <w:pStyle w:val="ListParagraph"/>
        <w:spacing w:line="360" w:lineRule="auto"/>
        <w:ind w:left="567"/>
        <w:contextualSpacing w:val="0"/>
        <w:jc w:val="both"/>
        <w:rPr>
          <w:rFonts w:cs="Times New Roman"/>
        </w:rPr>
      </w:pPr>
    </w:p>
    <w:p w:rsidR="0035327B" w:rsidRPr="007E7AF3" w:rsidRDefault="0035327B" w:rsidP="00431532">
      <w:pPr>
        <w:pStyle w:val="ListParagraph"/>
        <w:contextualSpacing w:val="0"/>
        <w:jc w:val="both"/>
        <w:rPr>
          <w:rFonts w:cs="Times New Roman"/>
          <w:i/>
          <w:iCs/>
        </w:rPr>
      </w:pPr>
      <w:r w:rsidRPr="007E7AF3">
        <w:rPr>
          <w:rFonts w:cs="Times New Roman"/>
          <w:i/>
          <w:iCs/>
        </w:rPr>
        <w:t>any [claimant] applying for an injunction against persons unknown, including newcomers … must satisfy the court by full and detailed evidence that there is a compelling justification for the order sought … There must be a strong probability that a tort … is to be committed and that this will cause real harm. Further the threat must be real and imminen</w:t>
      </w:r>
      <w:r>
        <w:rPr>
          <w:rFonts w:cs="Times New Roman"/>
          <w:i/>
          <w:iCs/>
        </w:rPr>
        <w:t>t.</w:t>
      </w:r>
    </w:p>
    <w:p w:rsidR="0035327B" w:rsidRPr="007E7AF3" w:rsidRDefault="0035327B" w:rsidP="00431532">
      <w:pPr>
        <w:pStyle w:val="ListParagraph"/>
        <w:spacing w:line="360" w:lineRule="auto"/>
        <w:ind w:left="360"/>
        <w:jc w:val="both"/>
        <w:rPr>
          <w:rFonts w:cs="Times New Roman"/>
        </w:rPr>
      </w:pPr>
    </w:p>
    <w:p w:rsidR="0035327B" w:rsidRPr="007E7AF3" w:rsidRDefault="0035327B" w:rsidP="00431532">
      <w:pPr>
        <w:pStyle w:val="ListParagraph"/>
        <w:numPr>
          <w:ilvl w:val="0"/>
          <w:numId w:val="4"/>
        </w:numPr>
        <w:spacing w:line="360" w:lineRule="auto"/>
        <w:jc w:val="both"/>
        <w:rPr>
          <w:rFonts w:cs="Times New Roman"/>
        </w:rPr>
      </w:pPr>
      <w:r w:rsidRPr="007E7AF3">
        <w:rPr>
          <w:rFonts w:cs="Times New Roman"/>
        </w:rPr>
        <w:t xml:space="preserve">The requirements and guidance from </w:t>
      </w:r>
      <w:r w:rsidRPr="007E7AF3">
        <w:rPr>
          <w:rFonts w:cs="Times New Roman"/>
          <w:b/>
          <w:bCs/>
          <w:i/>
          <w:iCs/>
        </w:rPr>
        <w:t>Wolverhampton</w:t>
      </w:r>
      <w:r w:rsidRPr="007E7AF3">
        <w:rPr>
          <w:rFonts w:cs="Times New Roman"/>
        </w:rPr>
        <w:t xml:space="preserve"> were interpreted and distilled in several protestor injunction cases throughout 2024, most notably by Ritchie J in </w:t>
      </w:r>
      <w:r w:rsidRPr="007E7AF3">
        <w:rPr>
          <w:rFonts w:cs="Times New Roman"/>
          <w:b/>
          <w:bCs/>
          <w:i/>
          <w:iCs/>
        </w:rPr>
        <w:t xml:space="preserve">Valero Energy Ltd v Persons Unknown </w:t>
      </w:r>
      <w:r w:rsidRPr="007E7AF3">
        <w:rPr>
          <w:rFonts w:cs="Times New Roman"/>
          <w:b/>
          <w:bCs/>
        </w:rPr>
        <w:t>[2024] EWHC 134 (KB) (‘</w:t>
      </w:r>
      <w:r w:rsidRPr="007E7AF3">
        <w:rPr>
          <w:rFonts w:cs="Times New Roman"/>
          <w:b/>
          <w:bCs/>
          <w:i/>
          <w:iCs/>
        </w:rPr>
        <w:t>Valero</w:t>
      </w:r>
      <w:r w:rsidRPr="007E7AF3">
        <w:rPr>
          <w:rFonts w:cs="Times New Roman"/>
          <w:b/>
          <w:bCs/>
        </w:rPr>
        <w:t xml:space="preserve">’) </w:t>
      </w:r>
      <w:r w:rsidRPr="007E7AF3">
        <w:rPr>
          <w:rFonts w:cs="Times New Roman"/>
        </w:rPr>
        <w:t xml:space="preserve">who, at [58], set out a series of substantive and procedural requirements that must be met for the grant of injunctive relief against a newcomer person unknown (albeit in the context of an application for summary judgment), and also by Sir Anthony Mann in </w:t>
      </w:r>
      <w:r w:rsidRPr="007E7AF3">
        <w:rPr>
          <w:rFonts w:cs="Times New Roman"/>
          <w:b/>
          <w:bCs/>
          <w:i/>
          <w:color w:val="000000" w:themeColor="text1"/>
        </w:rPr>
        <w:t>Jockey Club Racecourses Ltd v Kidby &amp; Others</w:t>
      </w:r>
      <w:r w:rsidRPr="007E7AF3">
        <w:rPr>
          <w:rFonts w:cs="Times New Roman"/>
          <w:bCs/>
          <w:color w:val="000000" w:themeColor="text1"/>
        </w:rPr>
        <w:t xml:space="preserve"> </w:t>
      </w:r>
      <w:r w:rsidRPr="007E7AF3">
        <w:rPr>
          <w:rFonts w:cs="Times New Roman"/>
          <w:b/>
          <w:bCs/>
          <w:color w:val="000000" w:themeColor="text1"/>
        </w:rPr>
        <w:t>[2024] EWHC 1786 (Ch)</w:t>
      </w:r>
      <w:r w:rsidRPr="007E7AF3">
        <w:rPr>
          <w:rFonts w:cs="Times New Roman"/>
        </w:rPr>
        <w:t xml:space="preserve"> </w:t>
      </w:r>
      <w:r w:rsidRPr="007E7AF3">
        <w:rPr>
          <w:rFonts w:cs="Times New Roman"/>
          <w:b/>
          <w:bCs/>
        </w:rPr>
        <w:t>(‘</w:t>
      </w:r>
      <w:r w:rsidRPr="007E7AF3">
        <w:rPr>
          <w:rFonts w:cs="Times New Roman"/>
          <w:b/>
          <w:bCs/>
          <w:i/>
          <w:iCs/>
        </w:rPr>
        <w:t>Jockey Club</w:t>
      </w:r>
      <w:r w:rsidRPr="007E7AF3">
        <w:rPr>
          <w:rFonts w:cs="Times New Roman"/>
          <w:b/>
          <w:bCs/>
        </w:rPr>
        <w:t>’)</w:t>
      </w:r>
      <w:r w:rsidRPr="007E7AF3">
        <w:rPr>
          <w:rFonts w:cs="Times New Roman"/>
        </w:rPr>
        <w:t xml:space="preserve">  who, at [18], sets out a series of 14 questions that must be considered when the grant of a newcomer persons unknown injunction is sought. </w:t>
      </w:r>
    </w:p>
    <w:p w:rsidR="0035327B" w:rsidRPr="007E7AF3" w:rsidRDefault="0035327B" w:rsidP="00431532">
      <w:pPr>
        <w:pStyle w:val="ListParagraph"/>
        <w:spacing w:line="360" w:lineRule="auto"/>
        <w:jc w:val="both"/>
        <w:rPr>
          <w:rFonts w:cs="Times New Roman"/>
        </w:rPr>
      </w:pPr>
    </w:p>
    <w:p w:rsidR="0035327B" w:rsidRPr="007E7AF3" w:rsidRDefault="0035327B" w:rsidP="00431532">
      <w:pPr>
        <w:pStyle w:val="ListParagraph"/>
        <w:numPr>
          <w:ilvl w:val="0"/>
          <w:numId w:val="4"/>
        </w:numPr>
        <w:spacing w:line="360" w:lineRule="auto"/>
        <w:jc w:val="both"/>
        <w:rPr>
          <w:rFonts w:cs="Times New Roman"/>
        </w:rPr>
      </w:pPr>
      <w:r w:rsidRPr="007E7AF3">
        <w:rPr>
          <w:rFonts w:cs="Times New Roman"/>
        </w:rPr>
        <w:t xml:space="preserve">In effect, the substance of the law and the matters that must be considered are now well-settled, even if presented differently between </w:t>
      </w:r>
      <w:r w:rsidRPr="007E7AF3">
        <w:rPr>
          <w:rFonts w:cs="Times New Roman"/>
          <w:b/>
          <w:bCs/>
          <w:i/>
          <w:iCs/>
        </w:rPr>
        <w:t xml:space="preserve">Valero </w:t>
      </w:r>
      <w:r w:rsidRPr="007E7AF3">
        <w:rPr>
          <w:rFonts w:cs="Times New Roman"/>
        </w:rPr>
        <w:t xml:space="preserve">and </w:t>
      </w:r>
      <w:r w:rsidRPr="007E7AF3">
        <w:rPr>
          <w:rFonts w:cs="Times New Roman"/>
          <w:b/>
          <w:bCs/>
          <w:i/>
          <w:iCs/>
        </w:rPr>
        <w:t>Jockey Club</w:t>
      </w:r>
      <w:r w:rsidRPr="007E7AF3">
        <w:rPr>
          <w:rFonts w:cs="Times New Roman"/>
        </w:rPr>
        <w:t xml:space="preserve">. </w:t>
      </w:r>
    </w:p>
    <w:p w:rsidR="0035327B" w:rsidRPr="007E7AF3" w:rsidRDefault="0035327B" w:rsidP="00431532">
      <w:pPr>
        <w:pStyle w:val="ListParagraph"/>
        <w:spacing w:line="360" w:lineRule="auto"/>
        <w:jc w:val="both"/>
        <w:rPr>
          <w:rFonts w:cs="Times New Roman"/>
        </w:rPr>
      </w:pPr>
    </w:p>
    <w:p w:rsidR="0035327B" w:rsidRPr="007E7AF3" w:rsidRDefault="0035327B" w:rsidP="00431532">
      <w:pPr>
        <w:pStyle w:val="ListParagraph"/>
        <w:numPr>
          <w:ilvl w:val="0"/>
          <w:numId w:val="4"/>
        </w:numPr>
        <w:spacing w:line="360" w:lineRule="auto"/>
        <w:jc w:val="both"/>
        <w:rPr>
          <w:rFonts w:cs="Times New Roman"/>
        </w:rPr>
      </w:pPr>
      <w:r w:rsidRPr="007E7AF3">
        <w:rPr>
          <w:rFonts w:cs="Times New Roman"/>
        </w:rPr>
        <w:t xml:space="preserve">In summary, the </w:t>
      </w:r>
      <w:r w:rsidRPr="007E7AF3">
        <w:rPr>
          <w:rFonts w:cs="Times New Roman"/>
          <w:b/>
          <w:bCs/>
          <w:i/>
          <w:iCs/>
        </w:rPr>
        <w:t xml:space="preserve">Valero </w:t>
      </w:r>
      <w:r w:rsidRPr="007E7AF3">
        <w:rPr>
          <w:rFonts w:cs="Times New Roman"/>
        </w:rPr>
        <w:t>substantive requirements are:</w:t>
      </w:r>
    </w:p>
    <w:p w:rsidR="0035327B" w:rsidRPr="007E7AF3" w:rsidRDefault="0035327B" w:rsidP="00431532">
      <w:pPr>
        <w:pStyle w:val="ListParagraph"/>
        <w:spacing w:line="360" w:lineRule="auto"/>
        <w:jc w:val="both"/>
        <w:rPr>
          <w:rFonts w:cs="Times New Roman"/>
        </w:rPr>
      </w:pPr>
    </w:p>
    <w:p w:rsidR="0035327B" w:rsidRPr="007E7AF3" w:rsidRDefault="0035327B" w:rsidP="00431532">
      <w:pPr>
        <w:pStyle w:val="ListParagraph"/>
        <w:numPr>
          <w:ilvl w:val="1"/>
          <w:numId w:val="5"/>
        </w:numPr>
        <w:spacing w:line="360" w:lineRule="auto"/>
        <w:jc w:val="both"/>
        <w:rPr>
          <w:rFonts w:cs="Times New Roman"/>
        </w:rPr>
      </w:pPr>
      <w:r w:rsidRPr="007E7AF3">
        <w:rPr>
          <w:rFonts w:cs="Times New Roman"/>
        </w:rPr>
        <w:t>there must be a cause of action;</w:t>
      </w:r>
    </w:p>
    <w:p w:rsidR="0035327B" w:rsidRPr="007E7AF3" w:rsidRDefault="0035327B" w:rsidP="00431532">
      <w:pPr>
        <w:pStyle w:val="ListParagraph"/>
        <w:numPr>
          <w:ilvl w:val="1"/>
          <w:numId w:val="5"/>
        </w:numPr>
        <w:spacing w:line="360" w:lineRule="auto"/>
        <w:jc w:val="both"/>
        <w:rPr>
          <w:rFonts w:cs="Times New Roman"/>
        </w:rPr>
      </w:pPr>
      <w:r w:rsidRPr="007E7AF3">
        <w:rPr>
          <w:rFonts w:cs="Times New Roman"/>
        </w:rPr>
        <w:t>there must be full and frank disclosure by the claimant;</w:t>
      </w:r>
    </w:p>
    <w:p w:rsidR="0035327B" w:rsidRPr="007E7AF3" w:rsidRDefault="0035327B" w:rsidP="00431532">
      <w:pPr>
        <w:pStyle w:val="ListParagraph"/>
        <w:numPr>
          <w:ilvl w:val="1"/>
          <w:numId w:val="5"/>
        </w:numPr>
        <w:spacing w:line="360" w:lineRule="auto"/>
        <w:jc w:val="both"/>
        <w:rPr>
          <w:rFonts w:cs="Times New Roman"/>
        </w:rPr>
      </w:pPr>
      <w:r w:rsidRPr="007E7AF3">
        <w:rPr>
          <w:rFonts w:cs="Times New Roman"/>
        </w:rPr>
        <w:t>there must be sufficient evidence to prove the claim (although this requirement appears to be crafted with the summary judgment application in mind);</w:t>
      </w:r>
    </w:p>
    <w:p w:rsidR="0035327B" w:rsidRPr="007E7AF3" w:rsidRDefault="0035327B" w:rsidP="00431532">
      <w:pPr>
        <w:pStyle w:val="ListParagraph"/>
        <w:numPr>
          <w:ilvl w:val="1"/>
          <w:numId w:val="5"/>
        </w:numPr>
        <w:spacing w:line="360" w:lineRule="auto"/>
        <w:jc w:val="both"/>
        <w:rPr>
          <w:rFonts w:cs="Times New Roman"/>
        </w:rPr>
      </w:pPr>
      <w:r w:rsidRPr="007E7AF3">
        <w:rPr>
          <w:rFonts w:cs="Times New Roman"/>
        </w:rPr>
        <w:t>there must be no realistic defence;</w:t>
      </w:r>
    </w:p>
    <w:p w:rsidR="0035327B" w:rsidRPr="007E7AF3" w:rsidRDefault="0035327B" w:rsidP="00431532">
      <w:pPr>
        <w:pStyle w:val="ListParagraph"/>
        <w:numPr>
          <w:ilvl w:val="1"/>
          <w:numId w:val="5"/>
        </w:numPr>
        <w:spacing w:line="360" w:lineRule="auto"/>
        <w:jc w:val="both"/>
        <w:rPr>
          <w:rFonts w:cs="Times New Roman"/>
        </w:rPr>
      </w:pPr>
      <w:r w:rsidRPr="007E7AF3">
        <w:rPr>
          <w:rFonts w:cs="Times New Roman"/>
        </w:rPr>
        <w:t>there must be a compelling justification for the remedy sought, and the court must take into account any balancing exercised that may be required if article 10 and 11 rights are engaged;</w:t>
      </w:r>
    </w:p>
    <w:p w:rsidR="0035327B" w:rsidRPr="007E7AF3" w:rsidRDefault="0035327B" w:rsidP="00431532">
      <w:pPr>
        <w:pStyle w:val="ListParagraph"/>
        <w:numPr>
          <w:ilvl w:val="1"/>
          <w:numId w:val="5"/>
        </w:numPr>
        <w:spacing w:line="360" w:lineRule="auto"/>
        <w:jc w:val="both"/>
        <w:rPr>
          <w:rFonts w:cs="Times New Roman"/>
        </w:rPr>
      </w:pPr>
      <w:r w:rsidRPr="007E7AF3">
        <w:rPr>
          <w:rFonts w:cs="Times New Roman"/>
        </w:rPr>
        <w:t>damages must not be an adequate remedy.</w:t>
      </w:r>
    </w:p>
    <w:p w:rsidR="0035327B" w:rsidRPr="007E7AF3" w:rsidRDefault="0035327B" w:rsidP="00431532">
      <w:pPr>
        <w:pStyle w:val="ListParagraph"/>
        <w:spacing w:line="360" w:lineRule="auto"/>
        <w:ind w:left="1080"/>
        <w:jc w:val="both"/>
        <w:rPr>
          <w:rFonts w:cs="Times New Roman"/>
        </w:rPr>
      </w:pPr>
    </w:p>
    <w:p w:rsidR="0035327B" w:rsidRPr="007E7AF3" w:rsidRDefault="0035327B" w:rsidP="00431532">
      <w:pPr>
        <w:pStyle w:val="ListParagraph"/>
        <w:numPr>
          <w:ilvl w:val="0"/>
          <w:numId w:val="4"/>
        </w:numPr>
        <w:spacing w:line="360" w:lineRule="auto"/>
        <w:jc w:val="both"/>
        <w:rPr>
          <w:rFonts w:cs="Times New Roman"/>
        </w:rPr>
      </w:pPr>
      <w:r w:rsidRPr="007E7AF3">
        <w:rPr>
          <w:rFonts w:cs="Times New Roman"/>
        </w:rPr>
        <w:t xml:space="preserve">In summary, the </w:t>
      </w:r>
      <w:r w:rsidRPr="007E7AF3">
        <w:rPr>
          <w:rFonts w:cs="Times New Roman"/>
          <w:b/>
          <w:bCs/>
          <w:i/>
          <w:iCs/>
        </w:rPr>
        <w:t xml:space="preserve">Valero </w:t>
      </w:r>
      <w:r w:rsidRPr="007E7AF3">
        <w:rPr>
          <w:rFonts w:cs="Times New Roman"/>
        </w:rPr>
        <w:t>procedural requirements are:</w:t>
      </w:r>
    </w:p>
    <w:p w:rsidR="0035327B" w:rsidRPr="007E7AF3" w:rsidRDefault="0035327B" w:rsidP="00431532">
      <w:pPr>
        <w:pStyle w:val="ListParagraph"/>
        <w:spacing w:line="360" w:lineRule="auto"/>
        <w:ind w:left="360"/>
        <w:jc w:val="both"/>
        <w:rPr>
          <w:rFonts w:cs="Times New Roman"/>
        </w:rPr>
      </w:pPr>
    </w:p>
    <w:p w:rsidR="0035327B" w:rsidRPr="007E7AF3" w:rsidRDefault="0035327B" w:rsidP="00431532">
      <w:pPr>
        <w:pStyle w:val="ListParagraph"/>
        <w:numPr>
          <w:ilvl w:val="0"/>
          <w:numId w:val="10"/>
        </w:numPr>
        <w:spacing w:line="360" w:lineRule="auto"/>
        <w:jc w:val="both"/>
        <w:rPr>
          <w:rFonts w:cs="Times New Roman"/>
        </w:rPr>
      </w:pPr>
      <w:r w:rsidRPr="007E7AF3">
        <w:rPr>
          <w:rFonts w:cs="Times New Roman"/>
        </w:rPr>
        <w:t>Persons Unknown must be clearly and plainly identified by reference to the tortious conduct to be prohibited, and clearly defined geographical boundaries (if possible);</w:t>
      </w:r>
    </w:p>
    <w:p w:rsidR="0035327B" w:rsidRPr="007E7AF3" w:rsidRDefault="0035327B" w:rsidP="00431532">
      <w:pPr>
        <w:pStyle w:val="ListParagraph"/>
        <w:numPr>
          <w:ilvl w:val="0"/>
          <w:numId w:val="10"/>
        </w:numPr>
        <w:spacing w:line="360" w:lineRule="auto"/>
        <w:jc w:val="both"/>
        <w:rPr>
          <w:rFonts w:cs="Times New Roman"/>
        </w:rPr>
      </w:pPr>
      <w:r w:rsidRPr="007E7AF3">
        <w:rPr>
          <w:rFonts w:cs="Times New Roman"/>
        </w:rPr>
        <w:t>the prohibitions in the injunction must be set out in clear words and avoid legal terminology. Further, if any lawful conduct is sought to be prohibited, that must be made clear, and the Court must be satisfied that there is no other more proportionate way of protecting the claimant’s rights;</w:t>
      </w:r>
    </w:p>
    <w:p w:rsidR="0035327B" w:rsidRPr="007E7AF3" w:rsidRDefault="0035327B" w:rsidP="00431532">
      <w:pPr>
        <w:pStyle w:val="ListParagraph"/>
        <w:numPr>
          <w:ilvl w:val="0"/>
          <w:numId w:val="10"/>
        </w:numPr>
        <w:spacing w:line="360" w:lineRule="auto"/>
        <w:jc w:val="both"/>
        <w:rPr>
          <w:rFonts w:cs="Times New Roman"/>
        </w:rPr>
      </w:pPr>
      <w:r w:rsidRPr="007E7AF3">
        <w:rPr>
          <w:rFonts w:cs="Times New Roman"/>
        </w:rPr>
        <w:t>the prohibitions must match the torts claimed;</w:t>
      </w:r>
    </w:p>
    <w:p w:rsidR="0035327B" w:rsidRPr="007E7AF3" w:rsidRDefault="0035327B" w:rsidP="00431532">
      <w:pPr>
        <w:pStyle w:val="ListParagraph"/>
        <w:numPr>
          <w:ilvl w:val="0"/>
          <w:numId w:val="10"/>
        </w:numPr>
        <w:spacing w:line="360" w:lineRule="auto"/>
        <w:jc w:val="both"/>
        <w:rPr>
          <w:rFonts w:cs="Times New Roman"/>
        </w:rPr>
      </w:pPr>
      <w:r w:rsidRPr="007E7AF3">
        <w:rPr>
          <w:rFonts w:cs="Times New Roman"/>
        </w:rPr>
        <w:t>the prohibitions must be defined by clear geographic boundaries (if possible);</w:t>
      </w:r>
    </w:p>
    <w:p w:rsidR="0035327B" w:rsidRPr="007E7AF3" w:rsidRDefault="0035327B" w:rsidP="00431532">
      <w:pPr>
        <w:pStyle w:val="ListParagraph"/>
        <w:numPr>
          <w:ilvl w:val="0"/>
          <w:numId w:val="10"/>
        </w:numPr>
        <w:spacing w:line="360" w:lineRule="auto"/>
        <w:jc w:val="both"/>
        <w:rPr>
          <w:rFonts w:cs="Times New Roman"/>
        </w:rPr>
      </w:pPr>
      <w:r w:rsidRPr="007E7AF3">
        <w:rPr>
          <w:rFonts w:cs="Times New Roman"/>
        </w:rPr>
        <w:t>the injunction should be temporally limited to that which is reasonably necessary to protect the claimant’s rights;</w:t>
      </w:r>
    </w:p>
    <w:p w:rsidR="0035327B" w:rsidRPr="007E7AF3" w:rsidRDefault="0035327B" w:rsidP="00431532">
      <w:pPr>
        <w:pStyle w:val="ListParagraph"/>
        <w:numPr>
          <w:ilvl w:val="0"/>
          <w:numId w:val="10"/>
        </w:numPr>
        <w:spacing w:line="360" w:lineRule="auto"/>
        <w:jc w:val="both"/>
        <w:rPr>
          <w:rFonts w:cs="Times New Roman"/>
        </w:rPr>
      </w:pPr>
      <w:r w:rsidRPr="007E7AF3">
        <w:rPr>
          <w:rFonts w:cs="Times New Roman"/>
        </w:rPr>
        <w:t xml:space="preserve">the proceedings and any order made must be served by alternative means (referred to as ‘notification’ and not service in </w:t>
      </w:r>
      <w:r w:rsidRPr="007E7AF3">
        <w:rPr>
          <w:rFonts w:cs="Times New Roman"/>
          <w:b/>
          <w:bCs/>
          <w:i/>
          <w:iCs/>
        </w:rPr>
        <w:t>Wolverhampton</w:t>
      </w:r>
      <w:r w:rsidRPr="007E7AF3">
        <w:rPr>
          <w:rFonts w:cs="Times New Roman"/>
        </w:rPr>
        <w:t>). The court should have regard to the Human Rights Act 1998, s12(2);</w:t>
      </w:r>
    </w:p>
    <w:p w:rsidR="0035327B" w:rsidRPr="007E7AF3" w:rsidRDefault="0035327B" w:rsidP="00431532">
      <w:pPr>
        <w:pStyle w:val="ListParagraph"/>
        <w:numPr>
          <w:ilvl w:val="0"/>
          <w:numId w:val="10"/>
        </w:numPr>
        <w:spacing w:line="360" w:lineRule="auto"/>
        <w:jc w:val="both"/>
        <w:rPr>
          <w:rFonts w:cs="Times New Roman"/>
        </w:rPr>
      </w:pPr>
      <w:r w:rsidRPr="007E7AF3">
        <w:rPr>
          <w:rFonts w:cs="Times New Roman"/>
        </w:rPr>
        <w:t>there must be a right to set aside or vary any order made;</w:t>
      </w:r>
    </w:p>
    <w:p w:rsidR="0035327B" w:rsidRDefault="0035327B" w:rsidP="00431532">
      <w:pPr>
        <w:pStyle w:val="ListParagraph"/>
        <w:numPr>
          <w:ilvl w:val="0"/>
          <w:numId w:val="10"/>
        </w:numPr>
        <w:spacing w:line="360" w:lineRule="auto"/>
        <w:jc w:val="both"/>
        <w:rPr>
          <w:rFonts w:cs="Times New Roman"/>
        </w:rPr>
      </w:pPr>
      <w:r w:rsidRPr="007E7AF3">
        <w:rPr>
          <w:rFonts w:cs="Times New Roman"/>
        </w:rPr>
        <w:t>provision should be made for the review of the injunction in the future.</w:t>
      </w:r>
    </w:p>
    <w:p w:rsidR="0035327B" w:rsidRPr="007E7AF3" w:rsidRDefault="0035327B" w:rsidP="00431532">
      <w:pPr>
        <w:pStyle w:val="ListParagraph"/>
        <w:spacing w:line="360" w:lineRule="auto"/>
        <w:ind w:left="1080"/>
        <w:jc w:val="both"/>
        <w:rPr>
          <w:rFonts w:cs="Times New Roman"/>
        </w:rPr>
      </w:pPr>
    </w:p>
    <w:p w:rsidR="0035327B" w:rsidRPr="007E7AF3" w:rsidRDefault="0035327B" w:rsidP="00431532">
      <w:pPr>
        <w:pStyle w:val="ListParagraph"/>
        <w:numPr>
          <w:ilvl w:val="0"/>
          <w:numId w:val="4"/>
        </w:numPr>
        <w:spacing w:line="360" w:lineRule="auto"/>
        <w:jc w:val="both"/>
        <w:rPr>
          <w:rFonts w:cs="Times New Roman"/>
        </w:rPr>
      </w:pPr>
      <w:r w:rsidRPr="007E7AF3">
        <w:rPr>
          <w:rFonts w:cs="Times New Roman"/>
        </w:rPr>
        <w:t xml:space="preserve">The Claimant seeks precautionary relief (although the relief is not ‘pure’ precautionary relief, as the apprehended wrongs and resulting harms have already been suffered). Ordinarily, the Court should therefore have regard to the multi-factorial test set out by Marcus Smith J in </w:t>
      </w:r>
      <w:r w:rsidRPr="007E7AF3">
        <w:rPr>
          <w:rFonts w:cs="Times New Roman"/>
          <w:b/>
          <w:bCs/>
          <w:i/>
          <w:color w:val="000000" w:themeColor="text1"/>
        </w:rPr>
        <w:t>Vastint Leeds BV v Persons Unknown</w:t>
      </w:r>
      <w:r w:rsidRPr="007E7AF3">
        <w:rPr>
          <w:rFonts w:cs="Times New Roman"/>
          <w:bCs/>
          <w:color w:val="000000" w:themeColor="text1"/>
        </w:rPr>
        <w:t xml:space="preserve"> </w:t>
      </w:r>
      <w:r w:rsidRPr="007E7AF3">
        <w:rPr>
          <w:rFonts w:cs="Times New Roman"/>
          <w:b/>
          <w:bCs/>
          <w:color w:val="000000" w:themeColor="text1"/>
        </w:rPr>
        <w:t>[2019] 4 WLR 2 (‘</w:t>
      </w:r>
      <w:r w:rsidRPr="007E7AF3">
        <w:rPr>
          <w:rFonts w:cs="Times New Roman"/>
          <w:b/>
          <w:bCs/>
          <w:i/>
          <w:iCs/>
          <w:color w:val="000000" w:themeColor="text1"/>
        </w:rPr>
        <w:t>Vastint</w:t>
      </w:r>
      <w:r w:rsidRPr="007E7AF3">
        <w:rPr>
          <w:rFonts w:cs="Times New Roman"/>
          <w:b/>
          <w:bCs/>
          <w:color w:val="000000" w:themeColor="text1"/>
        </w:rPr>
        <w:t xml:space="preserve">’) </w:t>
      </w:r>
      <w:r w:rsidRPr="007E7AF3">
        <w:rPr>
          <w:rFonts w:cs="Times New Roman"/>
          <w:color w:val="000000" w:themeColor="text1"/>
        </w:rPr>
        <w:t>at [31]</w:t>
      </w:r>
      <w:r w:rsidRPr="007E7AF3">
        <w:rPr>
          <w:rFonts w:cs="Times New Roman"/>
          <w:bCs/>
          <w:color w:val="000000" w:themeColor="text1"/>
        </w:rPr>
        <w:t xml:space="preserve">, as approved by Vos MR in </w:t>
      </w:r>
      <w:r w:rsidRPr="007E7AF3">
        <w:rPr>
          <w:rFonts w:cs="Times New Roman"/>
          <w:b/>
          <w:i/>
          <w:iCs/>
          <w:color w:val="000000" w:themeColor="text1"/>
        </w:rPr>
        <w:t xml:space="preserve">London Borough of Barking and Dagenham &amp; Ors v Persons Unknown &amp; Ors </w:t>
      </w:r>
      <w:r w:rsidRPr="007E7AF3">
        <w:rPr>
          <w:rFonts w:cs="Times New Roman"/>
          <w:b/>
          <w:color w:val="000000" w:themeColor="text1"/>
        </w:rPr>
        <w:t>[2022] EWCA Civ 13; [2023] QB 295</w:t>
      </w:r>
      <w:r w:rsidRPr="007E7AF3">
        <w:rPr>
          <w:rFonts w:cs="Times New Roman"/>
          <w:color w:val="000000" w:themeColor="text1"/>
        </w:rPr>
        <w:t xml:space="preserve"> at [83].</w:t>
      </w:r>
    </w:p>
    <w:p w:rsidR="0035327B" w:rsidRPr="007E7AF3" w:rsidRDefault="0035327B" w:rsidP="00431532">
      <w:pPr>
        <w:spacing w:line="360" w:lineRule="auto"/>
        <w:jc w:val="both"/>
        <w:rPr>
          <w:rFonts w:cs="Times New Roman"/>
        </w:rPr>
      </w:pPr>
    </w:p>
    <w:p w:rsidR="0035327B" w:rsidRPr="007E7AF3" w:rsidRDefault="0035327B" w:rsidP="00431532">
      <w:pPr>
        <w:pStyle w:val="ListParagraph"/>
        <w:numPr>
          <w:ilvl w:val="0"/>
          <w:numId w:val="4"/>
        </w:numPr>
        <w:spacing w:line="360" w:lineRule="auto"/>
        <w:jc w:val="both"/>
        <w:rPr>
          <w:rFonts w:cs="Times New Roman"/>
        </w:rPr>
      </w:pPr>
      <w:r w:rsidRPr="007E7AF3">
        <w:rPr>
          <w:rFonts w:cs="Times New Roman"/>
        </w:rPr>
        <w:t xml:space="preserve">However, it is submitted that the </w:t>
      </w:r>
      <w:r w:rsidRPr="007E7AF3">
        <w:rPr>
          <w:rFonts w:cs="Times New Roman"/>
          <w:b/>
          <w:bCs/>
          <w:i/>
          <w:iCs/>
        </w:rPr>
        <w:t xml:space="preserve">Vastint </w:t>
      </w:r>
      <w:r w:rsidRPr="007E7AF3">
        <w:rPr>
          <w:rFonts w:cs="Times New Roman"/>
        </w:rPr>
        <w:t xml:space="preserve">test has now be subsumed into the </w:t>
      </w:r>
      <w:r w:rsidRPr="007E7AF3">
        <w:rPr>
          <w:rFonts w:cs="Times New Roman"/>
          <w:b/>
          <w:bCs/>
          <w:i/>
          <w:iCs/>
        </w:rPr>
        <w:t xml:space="preserve">Wolverhampton </w:t>
      </w:r>
      <w:r w:rsidRPr="007E7AF3">
        <w:rPr>
          <w:rFonts w:cs="Times New Roman"/>
        </w:rPr>
        <w:t xml:space="preserve">requirements (and therefore also the </w:t>
      </w:r>
      <w:r w:rsidRPr="007E7AF3">
        <w:rPr>
          <w:rFonts w:cs="Times New Roman"/>
          <w:b/>
          <w:bCs/>
          <w:i/>
          <w:iCs/>
        </w:rPr>
        <w:t xml:space="preserve">Valero </w:t>
      </w:r>
      <w:r w:rsidRPr="007E7AF3">
        <w:rPr>
          <w:rFonts w:cs="Times New Roman"/>
        </w:rPr>
        <w:t xml:space="preserve">distillation of the same). That submission was recently accepted by Garnham J in </w:t>
      </w:r>
      <w:r w:rsidRPr="007E7AF3">
        <w:rPr>
          <w:rFonts w:cs="Times New Roman"/>
          <w:b/>
          <w:bCs/>
          <w:i/>
          <w:iCs/>
        </w:rPr>
        <w:t xml:space="preserve">Rochdale </w:t>
      </w:r>
      <w:r w:rsidRPr="007E7AF3">
        <w:rPr>
          <w:rFonts w:cs="Times New Roman"/>
        </w:rPr>
        <w:t xml:space="preserve">at [78], </w:t>
      </w:r>
      <w:r>
        <w:rPr>
          <w:rFonts w:cs="Times New Roman"/>
        </w:rPr>
        <w:t>but with the Judge also finding that</w:t>
      </w:r>
      <w:r w:rsidRPr="007E7AF3">
        <w:rPr>
          <w:rFonts w:cs="Times New Roman"/>
        </w:rPr>
        <w:t xml:space="preserve"> the </w:t>
      </w:r>
      <w:r w:rsidRPr="007E7AF3">
        <w:rPr>
          <w:rFonts w:cs="Times New Roman"/>
          <w:b/>
          <w:bCs/>
          <w:i/>
          <w:iCs/>
        </w:rPr>
        <w:t xml:space="preserve">Vastint </w:t>
      </w:r>
      <w:r w:rsidRPr="007E7AF3">
        <w:rPr>
          <w:rFonts w:cs="Times New Roman"/>
        </w:rPr>
        <w:t>test provides a useful ‘double check’.</w:t>
      </w:r>
    </w:p>
    <w:p w:rsidR="0035327B" w:rsidRPr="007E7AF3" w:rsidRDefault="0035327B" w:rsidP="00431532">
      <w:pPr>
        <w:pStyle w:val="ListParagraph"/>
        <w:spacing w:line="360" w:lineRule="auto"/>
        <w:rPr>
          <w:rFonts w:cs="Times New Roman"/>
        </w:rPr>
      </w:pPr>
    </w:p>
    <w:p w:rsidR="0035327B" w:rsidRPr="007E7AF3" w:rsidRDefault="0035327B" w:rsidP="00431532">
      <w:pPr>
        <w:pStyle w:val="ListParagraph"/>
        <w:numPr>
          <w:ilvl w:val="0"/>
          <w:numId w:val="4"/>
        </w:numPr>
        <w:spacing w:line="360" w:lineRule="auto"/>
        <w:jc w:val="both"/>
        <w:rPr>
          <w:rFonts w:cs="Times New Roman"/>
        </w:rPr>
      </w:pPr>
      <w:r w:rsidRPr="007E7AF3">
        <w:rPr>
          <w:rFonts w:cs="Times New Roman"/>
        </w:rPr>
        <w:t xml:space="preserve">Accordingly, in so far as it is relevant, the </w:t>
      </w:r>
      <w:r w:rsidRPr="007E7AF3">
        <w:rPr>
          <w:rFonts w:cs="Times New Roman"/>
          <w:b/>
          <w:bCs/>
          <w:i/>
          <w:iCs/>
        </w:rPr>
        <w:t xml:space="preserve">Vastint </w:t>
      </w:r>
      <w:r w:rsidRPr="007E7AF3">
        <w:rPr>
          <w:rFonts w:cs="Times New Roman"/>
        </w:rPr>
        <w:t xml:space="preserve">test requires </w:t>
      </w:r>
      <w:r w:rsidRPr="007E7AF3">
        <w:rPr>
          <w:rFonts w:cs="Times New Roman"/>
          <w:color w:val="000000" w:themeColor="text1"/>
        </w:rPr>
        <w:t>two questions to be answered in the affirmative for injunctive relief to be granted:</w:t>
      </w:r>
    </w:p>
    <w:p w:rsidR="0035327B" w:rsidRPr="007E7AF3" w:rsidRDefault="0035327B" w:rsidP="00431532">
      <w:pPr>
        <w:pStyle w:val="ListParagraph"/>
        <w:spacing w:line="360" w:lineRule="auto"/>
        <w:ind w:left="360"/>
        <w:jc w:val="both"/>
        <w:rPr>
          <w:rFonts w:cs="Times New Roman"/>
        </w:rPr>
      </w:pPr>
    </w:p>
    <w:p w:rsidR="0035327B" w:rsidRPr="007E7AF3" w:rsidRDefault="0035327B" w:rsidP="00431532">
      <w:pPr>
        <w:pStyle w:val="ListParagraph"/>
        <w:numPr>
          <w:ilvl w:val="0"/>
          <w:numId w:val="9"/>
        </w:numPr>
        <w:spacing w:line="360" w:lineRule="auto"/>
        <w:jc w:val="both"/>
        <w:rPr>
          <w:rFonts w:cs="Times New Roman"/>
        </w:rPr>
      </w:pPr>
      <w:r>
        <w:rPr>
          <w:rFonts w:cs="Times New Roman"/>
        </w:rPr>
        <w:t>f</w:t>
      </w:r>
      <w:r w:rsidRPr="007E7AF3">
        <w:rPr>
          <w:rFonts w:cs="Times New Roman"/>
        </w:rPr>
        <w:t>irst, is there a strong possibility that, unless restrained by an injunction, the defendant will act in breach of the claimant’s rights?; and</w:t>
      </w:r>
    </w:p>
    <w:p w:rsidR="0035327B" w:rsidRPr="007E7AF3" w:rsidRDefault="0035327B" w:rsidP="00431532">
      <w:pPr>
        <w:pStyle w:val="ListParagraph"/>
        <w:spacing w:line="360" w:lineRule="auto"/>
        <w:ind w:left="1080"/>
        <w:jc w:val="both"/>
        <w:rPr>
          <w:rFonts w:cs="Times New Roman"/>
        </w:rPr>
      </w:pPr>
    </w:p>
    <w:p w:rsidR="0035327B" w:rsidRPr="007E7AF3" w:rsidRDefault="0035327B" w:rsidP="00431532">
      <w:pPr>
        <w:pStyle w:val="ListParagraph"/>
        <w:numPr>
          <w:ilvl w:val="0"/>
          <w:numId w:val="9"/>
        </w:numPr>
        <w:spacing w:line="360" w:lineRule="auto"/>
        <w:jc w:val="both"/>
        <w:rPr>
          <w:rFonts w:cs="Times New Roman"/>
        </w:rPr>
      </w:pPr>
      <w:r>
        <w:rPr>
          <w:rFonts w:cs="Times New Roman"/>
        </w:rPr>
        <w:t>s</w:t>
      </w:r>
      <w:r w:rsidRPr="007E7AF3">
        <w:rPr>
          <w:rFonts w:cs="Times New Roman"/>
        </w:rPr>
        <w:t xml:space="preserve">econd, if the defendant did act in contravention of the claimant’s rights, would the resulting harm be so grave and irreparable that, notwithstanding the grant of an immediate interlocutory injunction (at the time of the </w:t>
      </w:r>
      <w:r w:rsidRPr="006360A8">
        <w:rPr>
          <w:rFonts w:cs="Times New Roman"/>
        </w:rPr>
        <w:t>actual</w:t>
      </w:r>
      <w:r w:rsidRPr="007E7AF3">
        <w:rPr>
          <w:rFonts w:cs="Times New Roman"/>
        </w:rPr>
        <w:t xml:space="preserve"> infringement of the claimant’s rights) to restrain further occurrence of the acts complained of, a remedy of damages would be inadequate. </w:t>
      </w:r>
    </w:p>
    <w:p w:rsidR="0035327B" w:rsidRPr="007E7AF3" w:rsidRDefault="0035327B" w:rsidP="00431532">
      <w:pPr>
        <w:pStyle w:val="ListParagraph"/>
        <w:spacing w:line="360" w:lineRule="auto"/>
        <w:rPr>
          <w:rFonts w:cs="Times New Roman"/>
        </w:rPr>
      </w:pPr>
    </w:p>
    <w:p w:rsidR="0035327B" w:rsidRPr="007E7AF3" w:rsidRDefault="0035327B" w:rsidP="00431532">
      <w:pPr>
        <w:pStyle w:val="ListParagraph"/>
        <w:numPr>
          <w:ilvl w:val="0"/>
          <w:numId w:val="4"/>
        </w:numPr>
        <w:spacing w:line="360" w:lineRule="auto"/>
        <w:jc w:val="both"/>
        <w:rPr>
          <w:rFonts w:cs="Times New Roman"/>
        </w:rPr>
      </w:pPr>
      <w:r w:rsidRPr="007E7AF3">
        <w:rPr>
          <w:rFonts w:cs="Times New Roman"/>
        </w:rPr>
        <w:t>Marcus Smith J, still at [31], proceeded to then set out multiple factors relevant to the assessment of each of those questions:</w:t>
      </w:r>
    </w:p>
    <w:p w:rsidR="0035327B" w:rsidRPr="007E7AF3" w:rsidRDefault="0035327B" w:rsidP="00431532">
      <w:pPr>
        <w:pStyle w:val="ListParagraph"/>
        <w:spacing w:line="360" w:lineRule="auto"/>
        <w:ind w:left="360"/>
        <w:jc w:val="both"/>
        <w:rPr>
          <w:rFonts w:cs="Times New Roman"/>
        </w:rPr>
      </w:pPr>
    </w:p>
    <w:p w:rsidR="0035327B" w:rsidRPr="007E7AF3" w:rsidRDefault="0035327B" w:rsidP="00431532">
      <w:pPr>
        <w:pStyle w:val="ListParagraph"/>
        <w:numPr>
          <w:ilvl w:val="0"/>
          <w:numId w:val="8"/>
        </w:numPr>
        <w:spacing w:line="360" w:lineRule="auto"/>
        <w:jc w:val="both"/>
        <w:rPr>
          <w:rFonts w:cs="Times New Roman"/>
        </w:rPr>
      </w:pPr>
      <w:r w:rsidRPr="007E7AF3">
        <w:rPr>
          <w:rFonts w:cs="Times New Roman"/>
        </w:rPr>
        <w:t>in relation to the first question: if the infringement is purely anticipatory, what steps has the claimant taken to ensure that the infringement does not occur; the attitude of the defendants; where infringements have already been committed, it may be that the defendant’s intentions are less significant than the natural and probable consequences of his or her act; the time frame between the application for relief and the threatened infringement may be relevant (the courts often use the language of imminence, meaning that the remedy sought must not be premature);</w:t>
      </w:r>
    </w:p>
    <w:p w:rsidR="0035327B" w:rsidRPr="007E7AF3" w:rsidRDefault="0035327B" w:rsidP="00431532">
      <w:pPr>
        <w:pStyle w:val="ListParagraph"/>
        <w:spacing w:line="360" w:lineRule="auto"/>
        <w:ind w:left="1080"/>
        <w:jc w:val="both"/>
        <w:rPr>
          <w:rFonts w:cs="Times New Roman"/>
        </w:rPr>
      </w:pPr>
    </w:p>
    <w:p w:rsidR="0035327B" w:rsidRPr="007E7AF3" w:rsidRDefault="0035327B" w:rsidP="00431532">
      <w:pPr>
        <w:pStyle w:val="ListParagraph"/>
        <w:numPr>
          <w:ilvl w:val="0"/>
          <w:numId w:val="8"/>
        </w:numPr>
        <w:spacing w:line="360" w:lineRule="auto"/>
        <w:jc w:val="both"/>
        <w:rPr>
          <w:rFonts w:cs="Times New Roman"/>
        </w:rPr>
      </w:pPr>
      <w:r w:rsidRPr="007E7AF3">
        <w:rPr>
          <w:rFonts w:cs="Times New Roman"/>
        </w:rPr>
        <w:t>in relation to question two: how easily can the harm of the infringement be undone by ex post rather than ex ante intervention; the gravity of the anticipated harm.</w:t>
      </w:r>
    </w:p>
    <w:p w:rsidR="0035327B" w:rsidRDefault="0035327B" w:rsidP="00431532">
      <w:pPr>
        <w:spacing w:line="360" w:lineRule="auto"/>
        <w:jc w:val="both"/>
      </w:pPr>
    </w:p>
    <w:p w:rsidR="0035327B" w:rsidRPr="00572B9D" w:rsidRDefault="0035327B" w:rsidP="00431532">
      <w:pPr>
        <w:spacing w:line="360" w:lineRule="auto"/>
        <w:jc w:val="both"/>
        <w:rPr>
          <w:b/>
          <w:bCs/>
        </w:rPr>
      </w:pPr>
      <w:r>
        <w:rPr>
          <w:b/>
          <w:bCs/>
        </w:rPr>
        <w:t>Human Rights Act 1998, s12(3)</w:t>
      </w:r>
    </w:p>
    <w:p w:rsidR="0035327B" w:rsidRDefault="0035327B" w:rsidP="00431532">
      <w:pPr>
        <w:spacing w:line="360" w:lineRule="auto"/>
        <w:jc w:val="both"/>
      </w:pPr>
    </w:p>
    <w:p w:rsidR="0035327B" w:rsidRDefault="0035327B" w:rsidP="00431532">
      <w:pPr>
        <w:pStyle w:val="ListParagraph"/>
        <w:numPr>
          <w:ilvl w:val="0"/>
          <w:numId w:val="4"/>
        </w:numPr>
        <w:spacing w:line="360" w:lineRule="auto"/>
        <w:jc w:val="both"/>
      </w:pPr>
      <w:r>
        <w:t xml:space="preserve">A Person Unknown might argue that the </w:t>
      </w:r>
      <w:r>
        <w:rPr>
          <w:b/>
          <w:bCs/>
        </w:rPr>
        <w:t>Human Rights Act 1998, s12(3)</w:t>
      </w:r>
      <w:r>
        <w:t xml:space="preserve"> should apply to this review. That section, which applies only when article 10 rights are engaged, provides that relief that restrains publication before trial should not be granted unless the court is satisfied that the applicant is ‘</w:t>
      </w:r>
      <w:r>
        <w:rPr>
          <w:i/>
          <w:iCs/>
        </w:rPr>
        <w:t>likely</w:t>
      </w:r>
      <w:r>
        <w:t xml:space="preserve">’ to establish that publication should not be allowed at trial (with ‘likely’ taken to mean </w:t>
      </w:r>
      <w:r>
        <w:rPr>
          <w:i/>
          <w:iCs/>
        </w:rPr>
        <w:t>‘more likely than not</w:t>
      </w:r>
      <w:r>
        <w:t xml:space="preserve">’ </w:t>
      </w:r>
      <w:r>
        <w:rPr>
          <w:b/>
          <w:bCs/>
          <w:i/>
          <w:iCs/>
        </w:rPr>
        <w:t xml:space="preserve">Cream Holdings Ltd v Banerjee </w:t>
      </w:r>
      <w:r>
        <w:rPr>
          <w:b/>
          <w:bCs/>
        </w:rPr>
        <w:t xml:space="preserve">[2005] 1 AC 253 </w:t>
      </w:r>
      <w:r>
        <w:t>at [22] per Lord Nicholls).</w:t>
      </w:r>
    </w:p>
    <w:p w:rsidR="0035327B" w:rsidRDefault="0035327B" w:rsidP="00431532">
      <w:pPr>
        <w:pStyle w:val="ListParagraph"/>
        <w:spacing w:line="360" w:lineRule="auto"/>
      </w:pPr>
    </w:p>
    <w:p w:rsidR="0035327B" w:rsidRDefault="0035327B" w:rsidP="00431532">
      <w:pPr>
        <w:pStyle w:val="ListParagraph"/>
        <w:numPr>
          <w:ilvl w:val="0"/>
          <w:numId w:val="4"/>
        </w:numPr>
        <w:spacing w:line="360" w:lineRule="auto"/>
        <w:jc w:val="both"/>
      </w:pPr>
      <w:r>
        <w:t xml:space="preserve">There will be no ‘trial’ of the Persons Unknown claim, therefore reference to </w:t>
      </w:r>
      <w:r w:rsidR="00DC7935">
        <w:t xml:space="preserve">a </w:t>
      </w:r>
      <w:r>
        <w:t xml:space="preserve">trial is reference to a purely hypothetical trial. Further, the ‘trial’ has arguably already taken place when the full </w:t>
      </w:r>
      <w:r>
        <w:rPr>
          <w:b/>
          <w:bCs/>
          <w:i/>
          <w:iCs/>
        </w:rPr>
        <w:t>Wolverhampton</w:t>
      </w:r>
      <w:r>
        <w:t xml:space="preserve">-style assessment was done, and this hearing is a review of the order so made. </w:t>
      </w:r>
    </w:p>
    <w:p w:rsidR="0035327B" w:rsidRDefault="0035327B" w:rsidP="00431532">
      <w:pPr>
        <w:pStyle w:val="ListParagraph"/>
        <w:spacing w:line="360" w:lineRule="auto"/>
      </w:pPr>
    </w:p>
    <w:p w:rsidR="0035327B" w:rsidRPr="002343DF" w:rsidRDefault="0035327B" w:rsidP="00431532">
      <w:pPr>
        <w:pStyle w:val="ListParagraph"/>
        <w:numPr>
          <w:ilvl w:val="0"/>
          <w:numId w:val="4"/>
        </w:numPr>
        <w:spacing w:line="360" w:lineRule="auto"/>
        <w:jc w:val="both"/>
      </w:pPr>
      <w:r>
        <w:t xml:space="preserve">In any event, the Claimant’s position is that </w:t>
      </w:r>
      <w:r>
        <w:rPr>
          <w:rFonts w:cs="Times New Roman"/>
        </w:rPr>
        <w:t xml:space="preserve">it </w:t>
      </w:r>
      <w:r w:rsidRPr="002343DF">
        <w:rPr>
          <w:rFonts w:cs="Times New Roman"/>
        </w:rPr>
        <w:t>does not seek to restrain publication (even in its widest definition</w:t>
      </w:r>
      <w:r>
        <w:rPr>
          <w:rFonts w:cs="Times New Roman"/>
        </w:rPr>
        <w:t xml:space="preserve"> – see </w:t>
      </w:r>
      <w:r>
        <w:rPr>
          <w:rFonts w:cs="Times New Roman"/>
          <w:b/>
          <w:bCs/>
          <w:i/>
          <w:iCs/>
        </w:rPr>
        <w:t xml:space="preserve">Birmingham City Council v Afsar </w:t>
      </w:r>
      <w:r>
        <w:rPr>
          <w:rFonts w:cs="Times New Roman"/>
          <w:b/>
          <w:bCs/>
        </w:rPr>
        <w:t xml:space="preserve">[2019] EWHC 1560 (KB) </w:t>
      </w:r>
      <w:r>
        <w:rPr>
          <w:rFonts w:cs="Times New Roman"/>
        </w:rPr>
        <w:t>at [60] per Warby J</w:t>
      </w:r>
      <w:r w:rsidRPr="002343DF">
        <w:rPr>
          <w:rFonts w:cs="Times New Roman"/>
        </w:rPr>
        <w:t xml:space="preserve">). Where injunctive relief applies restrictions on </w:t>
      </w:r>
      <w:r w:rsidRPr="002343DF">
        <w:rPr>
          <w:rFonts w:cs="Times New Roman"/>
          <w:u w:val="single"/>
        </w:rPr>
        <w:t>where</w:t>
      </w:r>
      <w:r w:rsidRPr="002343DF">
        <w:rPr>
          <w:rFonts w:cs="Times New Roman"/>
        </w:rPr>
        <w:t xml:space="preserve"> a defendant may express themselves, as opposed to </w:t>
      </w:r>
      <w:r w:rsidRPr="002343DF">
        <w:rPr>
          <w:rFonts w:cs="Times New Roman"/>
          <w:u w:val="single"/>
        </w:rPr>
        <w:t>what</w:t>
      </w:r>
      <w:r w:rsidRPr="002343DF">
        <w:rPr>
          <w:rFonts w:cs="Times New Roman"/>
        </w:rPr>
        <w:t xml:space="preserve"> the defendant may say, </w:t>
      </w:r>
      <w:r w:rsidRPr="002343DF">
        <w:rPr>
          <w:rFonts w:cs="Times New Roman"/>
          <w:b/>
          <w:bCs/>
        </w:rPr>
        <w:t xml:space="preserve">s12(3) </w:t>
      </w:r>
      <w:r>
        <w:rPr>
          <w:rFonts w:cs="Times New Roman"/>
        </w:rPr>
        <w:t xml:space="preserve">does not </w:t>
      </w:r>
      <w:r w:rsidRPr="002343DF">
        <w:rPr>
          <w:rFonts w:cs="Times New Roman"/>
        </w:rPr>
        <w:t>appl</w:t>
      </w:r>
      <w:r>
        <w:rPr>
          <w:rFonts w:cs="Times New Roman"/>
        </w:rPr>
        <w:t>y</w:t>
      </w:r>
      <w:r w:rsidRPr="002343DF">
        <w:rPr>
          <w:rFonts w:cs="Times New Roman"/>
        </w:rPr>
        <w:t xml:space="preserve">: </w:t>
      </w:r>
      <w:r w:rsidRPr="002343DF">
        <w:rPr>
          <w:rFonts w:cs="Times New Roman"/>
          <w:b/>
          <w:bCs/>
          <w:i/>
          <w:iCs/>
        </w:rPr>
        <w:t xml:space="preserve">Shell UK Oil Products Limited v Persons Unknown </w:t>
      </w:r>
      <w:r w:rsidRPr="002343DF">
        <w:rPr>
          <w:rFonts w:cs="Times New Roman"/>
          <w:b/>
          <w:bCs/>
        </w:rPr>
        <w:t>[2022] EWHC 1215 (QB)</w:t>
      </w:r>
      <w:r w:rsidRPr="002343DF">
        <w:rPr>
          <w:rFonts w:cs="Times New Roman"/>
        </w:rPr>
        <w:t xml:space="preserve"> at</w:t>
      </w:r>
      <w:r w:rsidRPr="002343DF">
        <w:rPr>
          <w:rFonts w:cs="Times New Roman"/>
          <w:b/>
          <w:bCs/>
        </w:rPr>
        <w:t xml:space="preserve"> </w:t>
      </w:r>
      <w:r w:rsidRPr="00F67097">
        <w:rPr>
          <w:rFonts w:cs="Times New Roman"/>
        </w:rPr>
        <w:t>[66]-[76]</w:t>
      </w:r>
      <w:r w:rsidRPr="002343DF">
        <w:rPr>
          <w:rFonts w:cs="Times New Roman"/>
          <w:b/>
          <w:bCs/>
        </w:rPr>
        <w:t xml:space="preserve"> </w:t>
      </w:r>
      <w:r w:rsidRPr="002343DF">
        <w:rPr>
          <w:rFonts w:cs="Times New Roman"/>
        </w:rPr>
        <w:t xml:space="preserve">per Johnson J and </w:t>
      </w:r>
      <w:r w:rsidRPr="002343DF">
        <w:rPr>
          <w:rFonts w:cs="Times New Roman"/>
          <w:b/>
          <w:bCs/>
          <w:i/>
          <w:iCs/>
        </w:rPr>
        <w:t xml:space="preserve">Thurrock Council &amp; Anr v Adams &amp; Ors </w:t>
      </w:r>
      <w:r w:rsidRPr="002343DF">
        <w:rPr>
          <w:rFonts w:cs="Times New Roman"/>
          <w:b/>
          <w:bCs/>
        </w:rPr>
        <w:t xml:space="preserve">[2022] EWHC 1324 (QB) </w:t>
      </w:r>
      <w:r w:rsidRPr="002343DF">
        <w:rPr>
          <w:rFonts w:cs="Times New Roman"/>
        </w:rPr>
        <w:t xml:space="preserve">at </w:t>
      </w:r>
      <w:r w:rsidRPr="00F67097">
        <w:rPr>
          <w:rFonts w:cs="Times New Roman"/>
        </w:rPr>
        <w:t>[83]</w:t>
      </w:r>
      <w:r w:rsidRPr="002343DF">
        <w:rPr>
          <w:rFonts w:cs="Times New Roman"/>
          <w:b/>
          <w:bCs/>
        </w:rPr>
        <w:t xml:space="preserve"> </w:t>
      </w:r>
      <w:r w:rsidRPr="002343DF">
        <w:rPr>
          <w:rFonts w:cs="Times New Roman"/>
        </w:rPr>
        <w:t>per HHJ Simon sitting as a Judge of the High Court.</w:t>
      </w:r>
    </w:p>
    <w:p w:rsidR="0035327B" w:rsidRPr="002343DF" w:rsidRDefault="0035327B" w:rsidP="00431532">
      <w:pPr>
        <w:spacing w:line="360" w:lineRule="auto"/>
        <w:jc w:val="both"/>
      </w:pPr>
    </w:p>
    <w:p w:rsidR="0035327B" w:rsidRDefault="0035327B" w:rsidP="00431532">
      <w:pPr>
        <w:pStyle w:val="ListParagraph"/>
        <w:numPr>
          <w:ilvl w:val="0"/>
          <w:numId w:val="4"/>
        </w:numPr>
        <w:spacing w:line="360" w:lineRule="auto"/>
        <w:jc w:val="both"/>
      </w:pPr>
      <w:r>
        <w:t>The Claimant acknowledges that there are arguments to the contrary, and does not consider there to be any prejudice to it not contesting this point</w:t>
      </w:r>
      <w:r w:rsidR="002666FB">
        <w:t xml:space="preserve"> in the circumstances of this review (that being the same approach that was adopted at all previously hearings)</w:t>
      </w:r>
      <w:r>
        <w:t xml:space="preserve">. The overarching test of ‘compelling need’ is a higher threshold than the ‘serious issue to be tried’ that applied prior to </w:t>
      </w:r>
      <w:r>
        <w:rPr>
          <w:b/>
          <w:bCs/>
          <w:i/>
          <w:iCs/>
        </w:rPr>
        <w:t>Wolverhampton</w:t>
      </w:r>
      <w:r>
        <w:t xml:space="preserve">; if ‘compelling need’ is established, it is difficult to see how the threshold of ‘likely’ would not also be established. </w:t>
      </w:r>
    </w:p>
    <w:p w:rsidR="002666FB" w:rsidRDefault="002666FB" w:rsidP="00431532">
      <w:pPr>
        <w:pStyle w:val="ListParagraph"/>
        <w:spacing w:line="360" w:lineRule="auto"/>
      </w:pPr>
    </w:p>
    <w:p w:rsidR="002666FB" w:rsidRPr="002666FB" w:rsidRDefault="002666FB" w:rsidP="00431532">
      <w:pPr>
        <w:spacing w:line="360" w:lineRule="auto"/>
        <w:jc w:val="both"/>
        <w:rPr>
          <w:b/>
          <w:bCs/>
          <w:u w:val="single"/>
        </w:rPr>
      </w:pPr>
      <w:r>
        <w:rPr>
          <w:b/>
          <w:bCs/>
          <w:u w:val="single"/>
        </w:rPr>
        <w:t>SUBMISSIONS</w:t>
      </w:r>
    </w:p>
    <w:p w:rsidR="002666FB" w:rsidRDefault="002666FB" w:rsidP="00431532">
      <w:pPr>
        <w:pStyle w:val="ListParagraph"/>
        <w:spacing w:line="360" w:lineRule="auto"/>
      </w:pPr>
    </w:p>
    <w:p w:rsidR="00986010" w:rsidRDefault="00986010" w:rsidP="00431532">
      <w:pPr>
        <w:pStyle w:val="ListParagraph"/>
        <w:numPr>
          <w:ilvl w:val="0"/>
          <w:numId w:val="4"/>
        </w:numPr>
        <w:spacing w:line="360" w:lineRule="auto"/>
        <w:jc w:val="both"/>
      </w:pPr>
      <w:r>
        <w:t xml:space="preserve">There have been no material changes of circumstances, nor are there any exceptional factors, that would require a </w:t>
      </w:r>
      <w:r>
        <w:rPr>
          <w:i/>
          <w:iCs/>
        </w:rPr>
        <w:t xml:space="preserve">de novo </w:t>
      </w:r>
      <w:r>
        <w:t xml:space="preserve">hearing to be conducted. As such, the </w:t>
      </w:r>
      <w:r>
        <w:rPr>
          <w:b/>
          <w:bCs/>
          <w:i/>
          <w:iCs/>
        </w:rPr>
        <w:t xml:space="preserve">Rochdale </w:t>
      </w:r>
      <w:r>
        <w:t xml:space="preserve">test should be applied. </w:t>
      </w:r>
    </w:p>
    <w:p w:rsidR="00986010" w:rsidRDefault="00986010" w:rsidP="00431532">
      <w:pPr>
        <w:pStyle w:val="ListParagraph"/>
        <w:spacing w:line="360" w:lineRule="auto"/>
        <w:ind w:left="360"/>
        <w:jc w:val="both"/>
      </w:pPr>
    </w:p>
    <w:p w:rsidR="007022FC" w:rsidRDefault="00986010" w:rsidP="00431532">
      <w:pPr>
        <w:pStyle w:val="ListParagraph"/>
        <w:numPr>
          <w:ilvl w:val="0"/>
          <w:numId w:val="4"/>
        </w:numPr>
        <w:spacing w:line="360" w:lineRule="auto"/>
        <w:jc w:val="both"/>
      </w:pPr>
      <w:r>
        <w:t xml:space="preserve">As Mr Wargent has explained in his fifth witness statement, the notable development since the grant of the Injunction Order has occurred in the context of the challenge to the proscription of Palestine Action under the Terrorism Act 2000 (see paragraphs 37 to 39 </w:t>
      </w:r>
      <w:r>
        <w:rPr>
          <w:b/>
          <w:bCs/>
        </w:rPr>
        <w:t>[</w:t>
      </w:r>
      <w:r w:rsidR="00DC7935">
        <w:rPr>
          <w:b/>
          <w:bCs/>
        </w:rPr>
        <w:t>57</w:t>
      </w:r>
      <w:r>
        <w:rPr>
          <w:b/>
          <w:bCs/>
        </w:rPr>
        <w:t>]</w:t>
      </w:r>
      <w:r>
        <w:t>).</w:t>
      </w:r>
      <w:r w:rsidR="007A0E21">
        <w:t xml:space="preserve"> In short, the proscription remains </w:t>
      </w:r>
      <w:r w:rsidR="0077482D">
        <w:t xml:space="preserve">in place, as it was at the date of the grant of the Injunction Order, such that there has been no material change of circumstances in this regard (and even if there had been and the proscription had been quashed, that would in any event militate in favour of continuing the injunctive relief). </w:t>
      </w:r>
    </w:p>
    <w:p w:rsidR="0077482D" w:rsidRDefault="0077482D" w:rsidP="00431532">
      <w:pPr>
        <w:pStyle w:val="ListParagraph"/>
        <w:spacing w:line="360" w:lineRule="auto"/>
      </w:pPr>
    </w:p>
    <w:p w:rsidR="0077482D" w:rsidRPr="0077482D" w:rsidRDefault="0077482D" w:rsidP="00431532">
      <w:pPr>
        <w:spacing w:line="360" w:lineRule="auto"/>
        <w:jc w:val="both"/>
        <w:rPr>
          <w:b/>
          <w:bCs/>
        </w:rPr>
      </w:pPr>
      <w:r>
        <w:rPr>
          <w:b/>
          <w:bCs/>
        </w:rPr>
        <w:t>Efficacy of the Injunction Order</w:t>
      </w:r>
    </w:p>
    <w:p w:rsidR="0077482D" w:rsidRDefault="0077482D" w:rsidP="00431532">
      <w:pPr>
        <w:pStyle w:val="ListParagraph"/>
        <w:spacing w:line="360" w:lineRule="auto"/>
      </w:pPr>
    </w:p>
    <w:p w:rsidR="00954943" w:rsidRDefault="0077482D" w:rsidP="00431532">
      <w:pPr>
        <w:pStyle w:val="ListParagraph"/>
        <w:numPr>
          <w:ilvl w:val="0"/>
          <w:numId w:val="4"/>
        </w:numPr>
        <w:spacing w:line="360" w:lineRule="auto"/>
        <w:jc w:val="both"/>
      </w:pPr>
      <w:r>
        <w:t xml:space="preserve">As set out above, since the grant of the </w:t>
      </w:r>
      <w:r w:rsidR="00C71289">
        <w:t>Injunction</w:t>
      </w:r>
      <w:r>
        <w:t xml:space="preserve"> Order on 25 July 2025, there have been no acts of unlawful direct-action </w:t>
      </w:r>
      <w:r w:rsidR="00C71289">
        <w:t xml:space="preserve">protest of which the Claimant complains. That is in stark contrast to the period immediately preceding the grant of relief, when several significant and aggravated protest actions occurred, and </w:t>
      </w:r>
      <w:r w:rsidR="00954943">
        <w:t>when significant property damage (causing losses of millions of pounds) and loss of revenue was suffered as a result. It is also in contrast to the continued experiences of other organisations engaged in similar business activities to the Claimant and who do not have the benefit of injunctive relief; the court is invited to draw the inference, as the Claimant does, that the injunctive relief is a significant factor in deterring further acts of unlaw direct-action protest.</w:t>
      </w:r>
    </w:p>
    <w:p w:rsidR="00954943" w:rsidRDefault="00954943" w:rsidP="00431532">
      <w:pPr>
        <w:pStyle w:val="ListParagraph"/>
        <w:spacing w:line="360" w:lineRule="auto"/>
        <w:ind w:left="360"/>
        <w:jc w:val="both"/>
      </w:pPr>
    </w:p>
    <w:p w:rsidR="00954943" w:rsidRDefault="00954943" w:rsidP="00431532">
      <w:pPr>
        <w:pStyle w:val="ListParagraph"/>
        <w:numPr>
          <w:ilvl w:val="0"/>
          <w:numId w:val="4"/>
        </w:numPr>
        <w:spacing w:line="360" w:lineRule="auto"/>
        <w:jc w:val="both"/>
      </w:pPr>
      <w:r>
        <w:t>Further, the Injunction Order is clearly effective in that it permits and facilitates lawful and peaceful protest, and has not had a chilling effect on the same. That is clear from the recorded 61 incidents of protest at the Claimant’s sites from the grant of the relief until 26 June 2026.</w:t>
      </w:r>
    </w:p>
    <w:p w:rsidR="00954943" w:rsidRDefault="00954943" w:rsidP="00431532">
      <w:pPr>
        <w:spacing w:line="360" w:lineRule="auto"/>
        <w:jc w:val="both"/>
      </w:pPr>
    </w:p>
    <w:p w:rsidR="00954943" w:rsidRDefault="00954943" w:rsidP="00431532">
      <w:pPr>
        <w:pStyle w:val="ListParagraph"/>
        <w:numPr>
          <w:ilvl w:val="0"/>
          <w:numId w:val="4"/>
        </w:numPr>
        <w:spacing w:line="360" w:lineRule="auto"/>
        <w:jc w:val="both"/>
      </w:pPr>
      <w:r>
        <w:t xml:space="preserve">The effectiveness of the Injunction </w:t>
      </w:r>
      <w:r w:rsidR="00BF5417">
        <w:t xml:space="preserve">Order </w:t>
      </w:r>
      <w:r>
        <w:t>supports the submission that it should be continued for a further 12 months</w:t>
      </w:r>
      <w:r w:rsidR="00BF5417">
        <w:t>, until the next annual review</w:t>
      </w:r>
      <w:r>
        <w:t xml:space="preserve">. The </w:t>
      </w:r>
      <w:r w:rsidR="00BF5417">
        <w:t>reduction in the unlawful protest incidents being experienced is not evidence that the</w:t>
      </w:r>
      <w:r>
        <w:t xml:space="preserve"> threat has dissipated, but rather evidence that the Injunction</w:t>
      </w:r>
      <w:r w:rsidR="00BF5417">
        <w:t xml:space="preserve"> Order</w:t>
      </w:r>
      <w:r>
        <w:t xml:space="preserve"> is having its intended effect (see </w:t>
      </w:r>
      <w:r w:rsidRPr="00954943">
        <w:rPr>
          <w:b/>
          <w:bCs/>
          <w:i/>
          <w:iCs/>
        </w:rPr>
        <w:t>Valero</w:t>
      </w:r>
      <w:r w:rsidR="00D4604B">
        <w:rPr>
          <w:b/>
          <w:bCs/>
          <w:i/>
          <w:iCs/>
        </w:rPr>
        <w:t xml:space="preserve"> 2025</w:t>
      </w:r>
      <w:r w:rsidRPr="00954943">
        <w:rPr>
          <w:b/>
          <w:bCs/>
          <w:i/>
          <w:iCs/>
        </w:rPr>
        <w:t xml:space="preserve"> </w:t>
      </w:r>
      <w:r>
        <w:t>at [34]).</w:t>
      </w:r>
    </w:p>
    <w:p w:rsidR="00BF5417" w:rsidRDefault="00BF5417" w:rsidP="00431532">
      <w:pPr>
        <w:pStyle w:val="ListParagraph"/>
        <w:spacing w:line="360" w:lineRule="auto"/>
      </w:pPr>
    </w:p>
    <w:p w:rsidR="00BF5417" w:rsidRPr="00BF5417" w:rsidRDefault="00BF5417" w:rsidP="00431532">
      <w:pPr>
        <w:spacing w:line="360" w:lineRule="auto"/>
        <w:jc w:val="both"/>
        <w:rPr>
          <w:b/>
          <w:bCs/>
        </w:rPr>
      </w:pPr>
      <w:r>
        <w:rPr>
          <w:b/>
          <w:bCs/>
        </w:rPr>
        <w:t>Are there grounds for discharge?</w:t>
      </w:r>
    </w:p>
    <w:p w:rsidR="00954943" w:rsidRDefault="00954943" w:rsidP="00431532">
      <w:pPr>
        <w:pStyle w:val="ListParagraph"/>
        <w:spacing w:line="360" w:lineRule="auto"/>
      </w:pPr>
    </w:p>
    <w:p w:rsidR="00BF5417" w:rsidRDefault="00BF5417" w:rsidP="00431532">
      <w:pPr>
        <w:pStyle w:val="ListParagraph"/>
        <w:numPr>
          <w:ilvl w:val="0"/>
          <w:numId w:val="4"/>
        </w:numPr>
        <w:spacing w:line="360" w:lineRule="auto"/>
        <w:jc w:val="both"/>
      </w:pPr>
      <w:r>
        <w:t xml:space="preserve">There is a significant overlap between this consideration and the following consideration; they are, in effect, two sides of the same coin. </w:t>
      </w:r>
    </w:p>
    <w:p w:rsidR="00BF5417" w:rsidRDefault="00BF5417" w:rsidP="00431532">
      <w:pPr>
        <w:pStyle w:val="ListParagraph"/>
        <w:spacing w:line="360" w:lineRule="auto"/>
        <w:ind w:left="360"/>
        <w:jc w:val="both"/>
      </w:pPr>
    </w:p>
    <w:p w:rsidR="00954943" w:rsidRDefault="00BF5417" w:rsidP="00431532">
      <w:pPr>
        <w:pStyle w:val="ListParagraph"/>
        <w:numPr>
          <w:ilvl w:val="0"/>
          <w:numId w:val="4"/>
        </w:numPr>
        <w:spacing w:line="360" w:lineRule="auto"/>
        <w:jc w:val="both"/>
      </w:pPr>
      <w:r>
        <w:t>It is submitted that no grounds for discharge have emerged;</w:t>
      </w:r>
      <w:r w:rsidR="002312AE">
        <w:t xml:space="preserve"> in particular, there remains an active pro-Palestinian protest movement</w:t>
      </w:r>
      <w:r w:rsidR="00B221C7">
        <w:t xml:space="preserve"> targeting organisations that are known to have li</w:t>
      </w:r>
      <w:r w:rsidR="008B7434">
        <w:t>nk</w:t>
      </w:r>
      <w:r w:rsidR="00B221C7">
        <w:t>s to Israel and the defence and security sectors</w:t>
      </w:r>
      <w:r w:rsidR="002312AE">
        <w:t>, and the Claimant clearly still remains a target for that movement given the 61 recorded incidents since the grant of the Injunction Order.</w:t>
      </w:r>
    </w:p>
    <w:p w:rsidR="002312AE" w:rsidRDefault="002312AE" w:rsidP="00431532">
      <w:pPr>
        <w:pStyle w:val="ListParagraph"/>
        <w:spacing w:line="360" w:lineRule="auto"/>
      </w:pPr>
    </w:p>
    <w:p w:rsidR="002312AE" w:rsidRPr="002312AE" w:rsidRDefault="002312AE" w:rsidP="00431532">
      <w:pPr>
        <w:spacing w:line="360" w:lineRule="auto"/>
        <w:jc w:val="both"/>
        <w:rPr>
          <w:b/>
          <w:bCs/>
        </w:rPr>
      </w:pPr>
      <w:r>
        <w:rPr>
          <w:b/>
          <w:bCs/>
        </w:rPr>
        <w:t>Is there a proper justification for contin</w:t>
      </w:r>
      <w:r w:rsidR="004E315B">
        <w:rPr>
          <w:b/>
          <w:bCs/>
        </w:rPr>
        <w:t>uation?</w:t>
      </w:r>
    </w:p>
    <w:p w:rsidR="002312AE" w:rsidRDefault="002312AE" w:rsidP="00431532">
      <w:pPr>
        <w:pStyle w:val="ListParagraph"/>
        <w:spacing w:line="360" w:lineRule="auto"/>
      </w:pPr>
    </w:p>
    <w:p w:rsidR="004E315B" w:rsidRDefault="004E315B" w:rsidP="00431532">
      <w:pPr>
        <w:pStyle w:val="ListParagraph"/>
        <w:numPr>
          <w:ilvl w:val="0"/>
          <w:numId w:val="4"/>
        </w:numPr>
        <w:spacing w:line="360" w:lineRule="auto"/>
        <w:jc w:val="both"/>
      </w:pPr>
      <w:r>
        <w:t>It is submitted that there is a proper justification for continuation of the Injunction Order. The Claimant apprehends that there will be further and imminent acts of unlawful direct-action protest at its sites should the relief not be continued. To that end, it is especially notable that another organisation operating in the same industry as the Claimant felt it necessary to seek and obtain its own injunctive relief during the currency of the Claimant’s Injunction Order (Wargent WS5 paragraphs 30(ii</w:t>
      </w:r>
      <w:r w:rsidR="008B7434">
        <w:t>i</w:t>
      </w:r>
      <w:r>
        <w:t xml:space="preserve">) </w:t>
      </w:r>
      <w:r>
        <w:rPr>
          <w:b/>
          <w:bCs/>
        </w:rPr>
        <w:t>[</w:t>
      </w:r>
      <w:r w:rsidR="008B7434">
        <w:rPr>
          <w:b/>
          <w:bCs/>
        </w:rPr>
        <w:t>53-54</w:t>
      </w:r>
      <w:r>
        <w:rPr>
          <w:b/>
          <w:bCs/>
        </w:rPr>
        <w:t xml:space="preserve">] </w:t>
      </w:r>
      <w:r>
        <w:t xml:space="preserve">and 32 </w:t>
      </w:r>
      <w:r>
        <w:rPr>
          <w:b/>
          <w:bCs/>
        </w:rPr>
        <w:t>[</w:t>
      </w:r>
      <w:r w:rsidR="008B7434">
        <w:rPr>
          <w:b/>
          <w:bCs/>
        </w:rPr>
        <w:t>56</w:t>
      </w:r>
      <w:r>
        <w:rPr>
          <w:b/>
          <w:bCs/>
        </w:rPr>
        <w:t>]</w:t>
      </w:r>
      <w:r>
        <w:t>).</w:t>
      </w:r>
    </w:p>
    <w:p w:rsidR="004E315B" w:rsidRDefault="004E315B" w:rsidP="00431532">
      <w:pPr>
        <w:pStyle w:val="ListParagraph"/>
        <w:spacing w:line="360" w:lineRule="auto"/>
        <w:ind w:left="360"/>
        <w:jc w:val="both"/>
      </w:pPr>
    </w:p>
    <w:p w:rsidR="002312AE" w:rsidRDefault="004E315B" w:rsidP="00431532">
      <w:pPr>
        <w:pStyle w:val="ListParagraph"/>
        <w:numPr>
          <w:ilvl w:val="0"/>
          <w:numId w:val="4"/>
        </w:numPr>
        <w:spacing w:line="360" w:lineRule="auto"/>
        <w:jc w:val="both"/>
      </w:pPr>
      <w:r>
        <w:t xml:space="preserve">In addition to the reasons set out above, it </w:t>
      </w:r>
      <w:r w:rsidR="005637A6">
        <w:t xml:space="preserve">should be remembered that the contempt proceedings brought against D19 Mary Ensell and D20 Harry Wade related to breaches of the Tipples J injunction order that occurred when those defendants were in </w:t>
      </w:r>
      <w:r w:rsidR="008B7434">
        <w:t>f</w:t>
      </w:r>
      <w:r w:rsidR="005637A6">
        <w:t xml:space="preserve">act Persons Unknown. The Persons Unknown order has already shown its utility in these proceedings, and to discharge the Injunction Order would expose the Claimants to significant risk of further loss and harm. </w:t>
      </w:r>
    </w:p>
    <w:p w:rsidR="00D042A6" w:rsidRDefault="00D042A6" w:rsidP="00431532">
      <w:pPr>
        <w:pStyle w:val="ListParagraph"/>
        <w:spacing w:line="360" w:lineRule="auto"/>
      </w:pPr>
    </w:p>
    <w:p w:rsidR="00D042A6" w:rsidRPr="00D042A6" w:rsidRDefault="00D042A6" w:rsidP="00431532">
      <w:pPr>
        <w:spacing w:line="360" w:lineRule="auto"/>
        <w:jc w:val="both"/>
        <w:rPr>
          <w:b/>
          <w:bCs/>
        </w:rPr>
      </w:pPr>
      <w:r>
        <w:rPr>
          <w:b/>
          <w:bCs/>
        </w:rPr>
        <w:t>Whether and on what basis a further order should be made</w:t>
      </w:r>
    </w:p>
    <w:p w:rsidR="00D042A6" w:rsidRDefault="00D042A6" w:rsidP="00431532">
      <w:pPr>
        <w:pStyle w:val="ListParagraph"/>
        <w:spacing w:line="360" w:lineRule="auto"/>
      </w:pPr>
    </w:p>
    <w:p w:rsidR="00D042A6" w:rsidRDefault="00D042A6" w:rsidP="00431532">
      <w:pPr>
        <w:pStyle w:val="ListParagraph"/>
        <w:numPr>
          <w:ilvl w:val="0"/>
          <w:numId w:val="4"/>
        </w:numPr>
        <w:spacing w:line="360" w:lineRule="auto"/>
        <w:jc w:val="both"/>
      </w:pPr>
      <w:r>
        <w:t>It is submitted that the Injunction Order should be continued for a further 12 months until the next annual review, without any modification to the prohibitions (</w:t>
      </w:r>
      <w:r w:rsidR="000305D6">
        <w:t xml:space="preserve">the order </w:t>
      </w:r>
      <w:r>
        <w:t xml:space="preserve">having already met all of the </w:t>
      </w:r>
      <w:r>
        <w:rPr>
          <w:b/>
          <w:bCs/>
          <w:i/>
          <w:iCs/>
        </w:rPr>
        <w:t>Wolverhampton</w:t>
      </w:r>
      <w:r>
        <w:t xml:space="preserve"> and </w:t>
      </w:r>
      <w:r>
        <w:rPr>
          <w:b/>
          <w:bCs/>
          <w:i/>
          <w:iCs/>
        </w:rPr>
        <w:t xml:space="preserve">Valero </w:t>
      </w:r>
      <w:r>
        <w:t>requirements)</w:t>
      </w:r>
      <w:r w:rsidR="000305D6">
        <w:t xml:space="preserve">. </w:t>
      </w:r>
      <w:r>
        <w:t>The order should continue to provide for a generous liberty to apply</w:t>
      </w:r>
      <w:r w:rsidR="000305D6">
        <w:t xml:space="preserve"> and subsequent annual reviews</w:t>
      </w:r>
      <w:r>
        <w:t>.</w:t>
      </w:r>
    </w:p>
    <w:p w:rsidR="00D042A6" w:rsidRDefault="00D042A6" w:rsidP="00431532">
      <w:pPr>
        <w:pStyle w:val="ListParagraph"/>
        <w:spacing w:line="360" w:lineRule="auto"/>
        <w:ind w:left="360"/>
        <w:jc w:val="both"/>
      </w:pPr>
    </w:p>
    <w:p w:rsidR="00D042A6" w:rsidRDefault="000305D6" w:rsidP="00431532">
      <w:pPr>
        <w:pStyle w:val="ListParagraph"/>
        <w:numPr>
          <w:ilvl w:val="0"/>
          <w:numId w:val="4"/>
        </w:numPr>
        <w:spacing w:line="360" w:lineRule="auto"/>
        <w:jc w:val="both"/>
      </w:pPr>
      <w:r>
        <w:t xml:space="preserve">The Draft Order at </w:t>
      </w:r>
      <w:r>
        <w:rPr>
          <w:b/>
          <w:bCs/>
        </w:rPr>
        <w:t>[</w:t>
      </w:r>
      <w:r w:rsidR="008B7434">
        <w:rPr>
          <w:b/>
          <w:bCs/>
        </w:rPr>
        <w:t>29-43</w:t>
      </w:r>
      <w:r>
        <w:rPr>
          <w:b/>
          <w:bCs/>
        </w:rPr>
        <w:t>]</w:t>
      </w:r>
      <w:r w:rsidR="00BF6DB4">
        <w:rPr>
          <w:b/>
          <w:bCs/>
        </w:rPr>
        <w:t xml:space="preserve"> </w:t>
      </w:r>
      <w:r w:rsidR="00BF6DB4">
        <w:t xml:space="preserve">has modified provision for alternative service on (or, more properly, notification to) the Eight to Eleventh Defendants (Persons Unknown). </w:t>
      </w:r>
      <w:r w:rsidR="00204B40">
        <w:t xml:space="preserve">Specifically, the provisions that related solely to the Named Defendants have been removed; the postal requirement to Named Defendants in particular was a significant burden on the Claimant and its resources, and served little to no purpose in circumstances where the proceedings are now only active against, and this and all further annual reviews only apply to, Persons Unknown. In any event, each of the Named Defendants is appraised of the injunction website address, and </w:t>
      </w:r>
      <w:r w:rsidR="00C50880">
        <w:t xml:space="preserve">the remaining service requirements continue to be treated conjunctively. </w:t>
      </w:r>
      <w:r w:rsidR="003D7B47">
        <w:t xml:space="preserve">It is submitted that the remaining requirements (publication on the injunction website, email distribution to the known protest groups and the erection of signs at the Claimant’s sites) can be reasonably expected to bring the relevant documents to the attention of those falling within the definition of the Eighth to Eleventh Defendants (Persons Unknown) (per </w:t>
      </w:r>
      <w:r w:rsidR="003D7B47">
        <w:rPr>
          <w:b/>
          <w:bCs/>
          <w:i/>
          <w:iCs/>
        </w:rPr>
        <w:t xml:space="preserve">Cameron v Liverpool Victoria Insurance Co Ltd </w:t>
      </w:r>
      <w:r w:rsidR="003D7B47">
        <w:rPr>
          <w:b/>
          <w:bCs/>
        </w:rPr>
        <w:t xml:space="preserve">[2019] 1 WLR 1471 </w:t>
      </w:r>
      <w:r w:rsidR="003D7B47">
        <w:t>at [21] per Lord Sumption).</w:t>
      </w:r>
    </w:p>
    <w:p w:rsidR="00112C70" w:rsidRDefault="00112C70" w:rsidP="00431532">
      <w:pPr>
        <w:pStyle w:val="ListParagraph"/>
        <w:spacing w:line="360" w:lineRule="auto"/>
      </w:pPr>
    </w:p>
    <w:p w:rsidR="00112C70" w:rsidRDefault="00112C70" w:rsidP="00431532">
      <w:pPr>
        <w:pStyle w:val="ListParagraph"/>
        <w:numPr>
          <w:ilvl w:val="0"/>
          <w:numId w:val="4"/>
        </w:numPr>
        <w:spacing w:line="360" w:lineRule="auto"/>
        <w:jc w:val="both"/>
      </w:pPr>
      <w:r>
        <w:t>The Draft Order is also drafted so that it simply continues the Injunction Order. It is not a discharge and re-grant of the Injunction Order. It is submitted that in circumstances where:</w:t>
      </w:r>
    </w:p>
    <w:p w:rsidR="00112C70" w:rsidRDefault="00112C70" w:rsidP="00431532">
      <w:pPr>
        <w:pStyle w:val="ListParagraph"/>
        <w:spacing w:line="360" w:lineRule="auto"/>
      </w:pPr>
    </w:p>
    <w:p w:rsidR="00112C70" w:rsidRDefault="000375BA" w:rsidP="00431532">
      <w:pPr>
        <w:pStyle w:val="ListParagraph"/>
        <w:numPr>
          <w:ilvl w:val="1"/>
          <w:numId w:val="4"/>
        </w:numPr>
        <w:spacing w:line="360" w:lineRule="auto"/>
        <w:jc w:val="both"/>
      </w:pPr>
      <w:r>
        <w:t xml:space="preserve">the Injunction Order has already been granted for five years (albeit subject to annual review); and </w:t>
      </w:r>
    </w:p>
    <w:p w:rsidR="000375BA" w:rsidRDefault="000375BA" w:rsidP="00431532">
      <w:pPr>
        <w:pStyle w:val="ListParagraph"/>
        <w:spacing w:line="360" w:lineRule="auto"/>
        <w:ind w:left="1080"/>
        <w:jc w:val="both"/>
      </w:pPr>
    </w:p>
    <w:p w:rsidR="000375BA" w:rsidRDefault="000375BA" w:rsidP="00431532">
      <w:pPr>
        <w:pStyle w:val="ListParagraph"/>
        <w:numPr>
          <w:ilvl w:val="1"/>
          <w:numId w:val="4"/>
        </w:numPr>
        <w:spacing w:line="360" w:lineRule="auto"/>
        <w:jc w:val="both"/>
      </w:pPr>
      <w:r>
        <w:t>no changes are being made to the prohibitions;</w:t>
      </w:r>
    </w:p>
    <w:p w:rsidR="000375BA" w:rsidRDefault="000375BA" w:rsidP="00431532">
      <w:pPr>
        <w:pStyle w:val="ListParagraph"/>
        <w:spacing w:line="360" w:lineRule="auto"/>
      </w:pPr>
    </w:p>
    <w:p w:rsidR="000375BA" w:rsidRDefault="000375BA" w:rsidP="00431532">
      <w:pPr>
        <w:pStyle w:val="ListParagraph"/>
        <w:spacing w:line="360" w:lineRule="auto"/>
        <w:ind w:left="360"/>
        <w:jc w:val="both"/>
      </w:pPr>
      <w:r>
        <w:t xml:space="preserve">that drafting is the most appropriate approach, especially as the review order will appear alongside the Injunction Order on the injunction website (to which Persons Unknown are directed by way of the injunction signs at the Claimant’s sites and by way of the service emails). This approach </w:t>
      </w:r>
      <w:r w:rsidR="008B7434">
        <w:t>is to</w:t>
      </w:r>
      <w:r>
        <w:t xml:space="preserve"> be contrasted w</w:t>
      </w:r>
      <w:r w:rsidR="008B7434">
        <w:t>ith the so-called newcomer</w:t>
      </w:r>
      <w:r>
        <w:t xml:space="preserve"> Traveller </w:t>
      </w:r>
      <w:r w:rsidR="008B7434">
        <w:t>i</w:t>
      </w:r>
      <w:r>
        <w:t xml:space="preserve">njunctions, which expire by the effluxion of time after one year, such that a full regrant is in fact necessary. </w:t>
      </w:r>
    </w:p>
    <w:p w:rsidR="00112C70" w:rsidRDefault="00112C70" w:rsidP="00431532">
      <w:pPr>
        <w:pStyle w:val="ListParagraph"/>
        <w:spacing w:line="360" w:lineRule="auto"/>
      </w:pPr>
    </w:p>
    <w:p w:rsidR="00112C70" w:rsidRDefault="000375BA" w:rsidP="00431532">
      <w:pPr>
        <w:pStyle w:val="ListParagraph"/>
        <w:numPr>
          <w:ilvl w:val="0"/>
          <w:numId w:val="4"/>
        </w:numPr>
        <w:spacing w:line="360" w:lineRule="auto"/>
        <w:jc w:val="both"/>
      </w:pPr>
      <w:r>
        <w:t xml:space="preserve">Counsel has used this approach on previous occasions in protest matters. However, in the interests of full and frank disclosure, counsel is also aware of a recent decision of Soole J in a protest matter, in which the approach used in Traveller injunctions was favoured </w:t>
      </w:r>
      <w:r w:rsidR="00710D2A">
        <w:t>and a fresh injunction made on the basis that only one document needed to be considered by Persons Unknown (</w:t>
      </w:r>
      <w:r w:rsidR="00710D2A">
        <w:rPr>
          <w:b/>
          <w:bCs/>
          <w:i/>
          <w:iCs/>
        </w:rPr>
        <w:t xml:space="preserve">Heathrow Airport Ltd v Persons Unknown </w:t>
      </w:r>
      <w:r w:rsidR="00710D2A">
        <w:rPr>
          <w:b/>
          <w:bCs/>
        </w:rPr>
        <w:t xml:space="preserve">[2026] 7 WLUK 172 </w:t>
      </w:r>
      <w:r w:rsidR="00710D2A">
        <w:t>(9 July 2026, unrep.)). However, it does also appear that, in that application, other amendments were being made to the definition of the categories of Persons Unknown. In those circumstances, it is perhaps unsurprising that a regrant should be made.</w:t>
      </w:r>
    </w:p>
    <w:p w:rsidR="002143B9" w:rsidRDefault="002143B9" w:rsidP="00431532">
      <w:pPr>
        <w:spacing w:line="360" w:lineRule="auto"/>
        <w:jc w:val="both"/>
      </w:pPr>
    </w:p>
    <w:p w:rsidR="002143B9" w:rsidRPr="002143B9" w:rsidRDefault="002143B9" w:rsidP="00431532">
      <w:pPr>
        <w:spacing w:line="360" w:lineRule="auto"/>
        <w:jc w:val="both"/>
        <w:rPr>
          <w:b/>
          <w:bCs/>
        </w:rPr>
      </w:pPr>
      <w:r>
        <w:rPr>
          <w:b/>
          <w:bCs/>
        </w:rPr>
        <w:t>Is it just and convenient to grant the relief sought?</w:t>
      </w:r>
    </w:p>
    <w:p w:rsidR="002143B9" w:rsidRDefault="002143B9" w:rsidP="00431532">
      <w:pPr>
        <w:spacing w:line="360" w:lineRule="auto"/>
        <w:jc w:val="both"/>
      </w:pPr>
    </w:p>
    <w:p w:rsidR="002143B9" w:rsidRDefault="00F676EB" w:rsidP="00431532">
      <w:pPr>
        <w:pStyle w:val="ListParagraph"/>
        <w:numPr>
          <w:ilvl w:val="0"/>
          <w:numId w:val="4"/>
        </w:numPr>
        <w:spacing w:line="360" w:lineRule="auto"/>
        <w:jc w:val="both"/>
      </w:pPr>
      <w:r>
        <w:t>When considering the justice and convenience of continuing the injunctive relief, the court is respectfully asked to consider two further points:</w:t>
      </w:r>
    </w:p>
    <w:p w:rsidR="00F676EB" w:rsidRDefault="00F676EB" w:rsidP="00431532">
      <w:pPr>
        <w:pStyle w:val="ListParagraph"/>
        <w:spacing w:line="360" w:lineRule="auto"/>
        <w:ind w:left="360"/>
        <w:jc w:val="both"/>
      </w:pPr>
    </w:p>
    <w:p w:rsidR="00A20B39" w:rsidRDefault="00DC1B50" w:rsidP="00431532">
      <w:pPr>
        <w:pStyle w:val="ListParagraph"/>
        <w:numPr>
          <w:ilvl w:val="1"/>
          <w:numId w:val="4"/>
        </w:numPr>
        <w:spacing w:line="360" w:lineRule="auto"/>
        <w:jc w:val="both"/>
      </w:pPr>
      <w:r>
        <w:t>Ms Ammori, who challenged the proscription of Palestine Action (and who is one of the co-founders of the group), submitted to the Divisional Court</w:t>
      </w:r>
      <w:r w:rsidR="00580542">
        <w:t xml:space="preserve"> that the Home Secretary should have encouraged affected private entities to seek injunctive relief, rather than proscribe the group, with civil injunctions being a less intrusive measure of achieving the Home Secretary’s objective (</w:t>
      </w:r>
      <w:r w:rsidR="00A20B39">
        <w:rPr>
          <w:b/>
          <w:bCs/>
          <w:i/>
          <w:iCs/>
        </w:rPr>
        <w:t xml:space="preserve">R (Ammori) v SSHD </w:t>
      </w:r>
      <w:r w:rsidR="00A20B39">
        <w:rPr>
          <w:b/>
          <w:bCs/>
        </w:rPr>
        <w:t xml:space="preserve">[2026] EWHC 292 (Admin) </w:t>
      </w:r>
      <w:r w:rsidR="00A20B39">
        <w:t xml:space="preserve">at [131]). As such, it is submitted that even Palestine Action’s representatives recognise the proportionality of injunctions in these circumstances. In the interests of full and frank disclosure, the Divisional </w:t>
      </w:r>
      <w:r w:rsidR="008B7434">
        <w:t>C</w:t>
      </w:r>
      <w:r w:rsidR="00A20B39">
        <w:t xml:space="preserve">ourt expressly referenced the Claimant’s </w:t>
      </w:r>
      <w:r w:rsidR="008B7434">
        <w:t>injunction</w:t>
      </w:r>
      <w:r w:rsidR="00A20B39">
        <w:t xml:space="preserve"> at [132] of its judgment, and held that it was not an appropriate lesser alternative in circumstances where the relief may not be available to all those who may be affected by the group’s actions, and that the evidential threshold for the relief often requires harm to have already been suffered; and</w:t>
      </w:r>
    </w:p>
    <w:p w:rsidR="00A20B39" w:rsidRDefault="00A20B39" w:rsidP="00431532">
      <w:pPr>
        <w:pStyle w:val="ListParagraph"/>
        <w:spacing w:line="360" w:lineRule="auto"/>
        <w:ind w:left="1080"/>
        <w:jc w:val="both"/>
      </w:pPr>
    </w:p>
    <w:p w:rsidR="00F676EB" w:rsidRDefault="00A20B39" w:rsidP="00431532">
      <w:pPr>
        <w:pStyle w:val="ListParagraph"/>
        <w:numPr>
          <w:ilvl w:val="1"/>
          <w:numId w:val="4"/>
        </w:numPr>
        <w:spacing w:line="360" w:lineRule="auto"/>
        <w:jc w:val="both"/>
      </w:pPr>
      <w:r>
        <w:t>the Claimant has incurred significant cost to date in these proceedings</w:t>
      </w:r>
      <w:r w:rsidR="00443BAB">
        <w:t xml:space="preserve"> to protect its legitimate interests, only a tiny fraction of which has been recovered. Discharging the Injunction Order now would expose the Claimant to not only risk of further loss and harm by way of direct-action protest, but also further cost in having to again bring proceedings to protect its interests, which it will again almost certainly not recover (especially where the litigation is against Persons Unknown). </w:t>
      </w:r>
      <w:r>
        <w:t xml:space="preserve"> </w:t>
      </w:r>
    </w:p>
    <w:p w:rsidR="00443BAB" w:rsidRDefault="00443BAB" w:rsidP="00431532">
      <w:pPr>
        <w:pStyle w:val="ListParagraph"/>
        <w:spacing w:line="360" w:lineRule="auto"/>
      </w:pPr>
    </w:p>
    <w:p w:rsidR="00443BAB" w:rsidRPr="00443BAB" w:rsidRDefault="00443BAB" w:rsidP="00431532">
      <w:pPr>
        <w:spacing w:line="360" w:lineRule="auto"/>
        <w:jc w:val="both"/>
        <w:rPr>
          <w:b/>
          <w:bCs/>
          <w:u w:val="single"/>
        </w:rPr>
      </w:pPr>
      <w:r>
        <w:rPr>
          <w:b/>
          <w:bCs/>
          <w:u w:val="single"/>
        </w:rPr>
        <w:t>CONCLUSION</w:t>
      </w:r>
    </w:p>
    <w:p w:rsidR="00443BAB" w:rsidRDefault="00443BAB" w:rsidP="00431532">
      <w:pPr>
        <w:pStyle w:val="ListParagraph"/>
        <w:spacing w:line="360" w:lineRule="auto"/>
      </w:pPr>
    </w:p>
    <w:p w:rsidR="00443BAB" w:rsidRDefault="007110B3" w:rsidP="00431532">
      <w:pPr>
        <w:pStyle w:val="ListParagraph"/>
        <w:numPr>
          <w:ilvl w:val="0"/>
          <w:numId w:val="4"/>
        </w:numPr>
        <w:spacing w:line="360" w:lineRule="auto"/>
        <w:jc w:val="both"/>
      </w:pPr>
      <w:r>
        <w:t>For the reasons set out in this skeleton, the Claimant seeks the continuation of the Injunction Order for a further year, until the next annual review.</w:t>
      </w:r>
    </w:p>
    <w:p w:rsidR="007110B3" w:rsidRDefault="007110B3" w:rsidP="007110B3">
      <w:pPr>
        <w:jc w:val="both"/>
      </w:pPr>
    </w:p>
    <w:p w:rsidR="007110B3" w:rsidRDefault="007110B3" w:rsidP="007110B3">
      <w:pPr>
        <w:jc w:val="both"/>
      </w:pPr>
    </w:p>
    <w:p w:rsidR="007110B3" w:rsidRDefault="007110B3" w:rsidP="007110B3">
      <w:pPr>
        <w:jc w:val="right"/>
        <w:rPr>
          <w:b/>
          <w:bCs/>
        </w:rPr>
      </w:pPr>
      <w:r>
        <w:rPr>
          <w:b/>
          <w:bCs/>
        </w:rPr>
        <w:t>Natalie Pratt</w:t>
      </w:r>
    </w:p>
    <w:p w:rsidR="007110B3" w:rsidRDefault="007110B3" w:rsidP="007110B3">
      <w:pPr>
        <w:jc w:val="right"/>
        <w:rPr>
          <w:b/>
          <w:bCs/>
        </w:rPr>
      </w:pPr>
      <w:r>
        <w:rPr>
          <w:b/>
          <w:bCs/>
        </w:rPr>
        <w:t>Radcliffe Chambers</w:t>
      </w:r>
    </w:p>
    <w:p w:rsidR="007110B3" w:rsidRDefault="007110B3" w:rsidP="007110B3">
      <w:pPr>
        <w:jc w:val="right"/>
        <w:rPr>
          <w:b/>
          <w:bCs/>
        </w:rPr>
      </w:pPr>
    </w:p>
    <w:p w:rsidR="007110B3" w:rsidRPr="007110B3" w:rsidRDefault="007110B3" w:rsidP="007110B3">
      <w:pPr>
        <w:jc w:val="right"/>
      </w:pPr>
      <w:r>
        <w:t>17 July 2026</w:t>
      </w:r>
    </w:p>
    <w:sectPr w:rsidR="007110B3" w:rsidRPr="007110B3" w:rsidSect="00EB20CF">
      <w:footerReference w:type="even" r:id="rId7"/>
      <w:footerReference w:type="default" r:id="rId8"/>
      <w:headerReference w:type="first" r:id="rId9"/>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02F1" w:rsidRDefault="007702F1" w:rsidP="00620F05">
      <w:r>
        <w:separator/>
      </w:r>
    </w:p>
  </w:endnote>
  <w:endnote w:type="continuationSeparator" w:id="0">
    <w:p w:rsidR="007702F1" w:rsidRDefault="007702F1" w:rsidP="00620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88061814"/>
      <w:docPartObj>
        <w:docPartGallery w:val="Page Numbers (Bottom of Page)"/>
        <w:docPartUnique/>
      </w:docPartObj>
    </w:sdtPr>
    <w:sdtEndPr>
      <w:rPr>
        <w:rStyle w:val="PageNumber"/>
      </w:rPr>
    </w:sdtEndPr>
    <w:sdtContent>
      <w:p w:rsidR="00620F05" w:rsidRDefault="00620F05" w:rsidP="009F7B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20F05" w:rsidRDefault="00620F05" w:rsidP="00620F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89239229"/>
      <w:docPartObj>
        <w:docPartGallery w:val="Page Numbers (Bottom of Page)"/>
        <w:docPartUnique/>
      </w:docPartObj>
    </w:sdtPr>
    <w:sdtEndPr>
      <w:rPr>
        <w:rStyle w:val="PageNumber"/>
      </w:rPr>
    </w:sdtEndPr>
    <w:sdtContent>
      <w:p w:rsidR="00620F05" w:rsidRDefault="00620F05" w:rsidP="009F7B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620F05" w:rsidRDefault="00620F05" w:rsidP="00620F0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02F1" w:rsidRDefault="007702F1" w:rsidP="00620F05">
      <w:r>
        <w:separator/>
      </w:r>
    </w:p>
  </w:footnote>
  <w:footnote w:type="continuationSeparator" w:id="0">
    <w:p w:rsidR="007702F1" w:rsidRDefault="007702F1" w:rsidP="00620F05">
      <w:r>
        <w:continuationSeparator/>
      </w:r>
    </w:p>
  </w:footnote>
  <w:footnote w:id="1">
    <w:p w:rsidR="007022FC" w:rsidRPr="000B55CF" w:rsidRDefault="007022FC" w:rsidP="007022FC">
      <w:pPr>
        <w:pStyle w:val="FootnoteText"/>
      </w:pPr>
      <w:r>
        <w:rPr>
          <w:rStyle w:val="FootnoteReference"/>
        </w:rPr>
        <w:footnoteRef/>
      </w:r>
      <w:r>
        <w:t xml:space="preserve"> A non-exhaustive list of examples includes: </w:t>
      </w:r>
      <w:r w:rsidRPr="00D575AA">
        <w:rPr>
          <w:i/>
          <w:iCs/>
        </w:rPr>
        <w:t xml:space="preserve">Hanson Quarry Products Europe Ltd v Persons Unknown </w:t>
      </w:r>
      <w:r w:rsidRPr="00D575AA">
        <w:t xml:space="preserve">(6 June 2025, unrep. [2025] 6 WLUK 122); </w:t>
      </w:r>
      <w:r w:rsidRPr="00D575AA">
        <w:rPr>
          <w:i/>
          <w:iCs/>
        </w:rPr>
        <w:t>London City Airport Ltd &amp; Ors v Persons Unknown</w:t>
      </w:r>
      <w:r w:rsidRPr="00D575AA">
        <w:t xml:space="preserve"> [2025] EWHC 2223 (KB); </w:t>
      </w:r>
      <w:r w:rsidRPr="00D575AA">
        <w:rPr>
          <w:i/>
          <w:iCs/>
        </w:rPr>
        <w:t xml:space="preserve">Esso Petroleum Company Ltd &amp; Ors v Persons Unknown </w:t>
      </w:r>
      <w:r w:rsidRPr="00D575AA">
        <w:t xml:space="preserve">[2025] EWHC 1768 (KB); </w:t>
      </w:r>
      <w:r w:rsidRPr="00D575AA">
        <w:rPr>
          <w:i/>
          <w:iCs/>
          <w:color w:val="000000" w:themeColor="text1"/>
        </w:rPr>
        <w:t xml:space="preserve">Gatwick Airport Ltd v Persons Unknown </w:t>
      </w:r>
      <w:r w:rsidRPr="00D575AA">
        <w:rPr>
          <w:color w:val="000000" w:themeColor="text1"/>
        </w:rPr>
        <w:t xml:space="preserve">[2025] EWHC 2228 (KB); </w:t>
      </w:r>
      <w:r w:rsidRPr="00D575AA">
        <w:rPr>
          <w:i/>
          <w:iCs/>
          <w:color w:val="000000" w:themeColor="text1"/>
        </w:rPr>
        <w:t xml:space="preserve">Arla Foods Limited &amp; Anr v Persons Unknown </w:t>
      </w:r>
      <w:r w:rsidRPr="00D575AA">
        <w:rPr>
          <w:color w:val="000000" w:themeColor="text1"/>
        </w:rPr>
        <w:t xml:space="preserve">(22 July 2025, unrep. </w:t>
      </w:r>
      <w:r w:rsidRPr="00D575AA">
        <w:t>[2025] 7 WLUK 442</w:t>
      </w:r>
      <w:r w:rsidRPr="00D575AA">
        <w:rPr>
          <w:color w:val="000000" w:themeColor="text1"/>
        </w:rPr>
        <w:t>);</w:t>
      </w:r>
      <w:r w:rsidRPr="00D575AA">
        <w:rPr>
          <w:i/>
          <w:iCs/>
        </w:rPr>
        <w:t xml:space="preserve"> LB Havering v Persons Unknown </w:t>
      </w:r>
      <w:r w:rsidRPr="00D575AA">
        <w:t>[2025] EWHC 2603 (KB)</w:t>
      </w:r>
      <w:r>
        <w:t xml:space="preserve">; </w:t>
      </w:r>
      <w:r>
        <w:rPr>
          <w:i/>
          <w:iCs/>
        </w:rPr>
        <w:t xml:space="preserve">Nuneaton and Bedworth BC v Corcoran &amp; Ors </w:t>
      </w:r>
      <w:r>
        <w:t>(KB)</w:t>
      </w:r>
      <w:r>
        <w:rPr>
          <w:i/>
          <w:iCs/>
        </w:rPr>
        <w:t xml:space="preserve"> </w:t>
      </w:r>
      <w:r>
        <w:t xml:space="preserve">(3 December 2025, unrep); </w:t>
      </w:r>
      <w:r>
        <w:rPr>
          <w:i/>
          <w:iCs/>
        </w:rPr>
        <w:t xml:space="preserve">Valero Energy Ltd v Persons Unknown </w:t>
      </w:r>
      <w:r>
        <w:t>[2026] EWHC 397 (KB)</w:t>
      </w:r>
      <w:r w:rsidR="0098704A">
        <w:t xml:space="preserve">; </w:t>
      </w:r>
      <w:r w:rsidR="000820CB">
        <w:rPr>
          <w:i/>
          <w:iCs/>
        </w:rPr>
        <w:t xml:space="preserve">Rochdale MBC v Persons Unknown </w:t>
      </w:r>
      <w:r w:rsidR="000820CB">
        <w:t xml:space="preserve">[2026] EWHC 1214 (KB); </w:t>
      </w:r>
      <w:r w:rsidR="000820CB">
        <w:rPr>
          <w:i/>
          <w:iCs/>
        </w:rPr>
        <w:t xml:space="preserve">Heathrow Airport Ltd v Persons Unknown </w:t>
      </w:r>
      <w:r w:rsidR="000820CB">
        <w:t>9 July 2026, unrep. [2026] 7 WLUK 172)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0CF" w:rsidRPr="00EB20CF" w:rsidRDefault="00EB20CF" w:rsidP="00EB20CF">
    <w:pPr>
      <w:pStyle w:val="Header"/>
      <w:jc w:val="right"/>
      <w:rPr>
        <w:sz w:val="20"/>
        <w:szCs w:val="20"/>
      </w:rPr>
    </w:pPr>
    <w:r w:rsidRPr="00EB20CF">
      <w:rPr>
        <w:sz w:val="20"/>
        <w:szCs w:val="20"/>
      </w:rPr>
      <w:t>Claimant’s skeleton argument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11FA"/>
    <w:multiLevelType w:val="hybridMultilevel"/>
    <w:tmpl w:val="42AEA0EA"/>
    <w:lvl w:ilvl="0" w:tplc="0809000F">
      <w:start w:val="1"/>
      <w:numFmt w:val="decimal"/>
      <w:lvlText w:val="%1."/>
      <w:lvlJc w:val="left"/>
      <w:pPr>
        <w:ind w:left="360" w:hanging="360"/>
      </w:pPr>
      <w:rPr>
        <w:rFonts w:hint="default"/>
      </w:rPr>
    </w:lvl>
    <w:lvl w:ilvl="1" w:tplc="08AC2F3C">
      <w:start w:val="1"/>
      <w:numFmt w:val="lowerRoman"/>
      <w:lvlText w:val="%2."/>
      <w:lvlJc w:val="right"/>
      <w:pPr>
        <w:ind w:left="1080" w:hanging="360"/>
      </w:pPr>
      <w:rPr>
        <w:b w:val="0"/>
        <w:bCs w:val="0"/>
        <w:i w:val="0"/>
        <w:iCs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B11552"/>
    <w:multiLevelType w:val="hybridMultilevel"/>
    <w:tmpl w:val="952E9870"/>
    <w:lvl w:ilvl="0" w:tplc="34E6E4B6">
      <w:start w:val="1"/>
      <w:numFmt w:val="decimal"/>
      <w:lvlText w:val="%1."/>
      <w:lvlJc w:val="left"/>
      <w:pPr>
        <w:ind w:left="360" w:hanging="360"/>
      </w:pPr>
      <w:rPr>
        <w:rFonts w:hint="default"/>
        <w:b w:val="0"/>
        <w:bCs w:val="0"/>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3556A7"/>
    <w:multiLevelType w:val="hybridMultilevel"/>
    <w:tmpl w:val="2338927E"/>
    <w:lvl w:ilvl="0" w:tplc="ED125F9A">
      <w:start w:val="1"/>
      <w:numFmt w:val="decimal"/>
      <w:pStyle w:val="ChapterHeading"/>
      <w:lvlText w:val="Chapter %1 |"/>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A5F4C"/>
    <w:multiLevelType w:val="hybridMultilevel"/>
    <w:tmpl w:val="49466518"/>
    <w:lvl w:ilvl="0" w:tplc="6BF4D6C6">
      <w:start w:val="1"/>
      <w:numFmt w:val="decimal"/>
      <w:lvlText w:val="%1."/>
      <w:lvlJc w:val="left"/>
      <w:pPr>
        <w:ind w:left="360" w:hanging="360"/>
      </w:pPr>
      <w:rPr>
        <w:rFonts w:hint="default"/>
        <w:b w:val="0"/>
        <w:bCs w:val="0"/>
      </w:rPr>
    </w:lvl>
    <w:lvl w:ilvl="1" w:tplc="1BA4DF7E">
      <w:start w:val="1"/>
      <w:numFmt w:val="lowerRoman"/>
      <w:lvlText w:val="%2."/>
      <w:lvlJc w:val="right"/>
      <w:pPr>
        <w:ind w:left="1080" w:hanging="360"/>
      </w:pPr>
      <w:rPr>
        <w:b w:val="0"/>
        <w:bCs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5D1D4A"/>
    <w:multiLevelType w:val="hybridMultilevel"/>
    <w:tmpl w:val="968E505E"/>
    <w:lvl w:ilvl="0" w:tplc="FFFFFFFF">
      <w:start w:val="1"/>
      <w:numFmt w:val="lowerRoman"/>
      <w:lvlText w:val="%1."/>
      <w:lvlJc w:val="right"/>
      <w:pPr>
        <w:ind w:left="1080" w:hanging="360"/>
      </w:pPr>
      <w:rPr>
        <w:rFonts w:hint="default"/>
        <w:b w:val="0"/>
        <w:bCs/>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B776D34"/>
    <w:multiLevelType w:val="hybridMultilevel"/>
    <w:tmpl w:val="2E7004C0"/>
    <w:lvl w:ilvl="0" w:tplc="0809000F">
      <w:start w:val="4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130BA4"/>
    <w:multiLevelType w:val="hybridMultilevel"/>
    <w:tmpl w:val="FB627658"/>
    <w:lvl w:ilvl="0" w:tplc="EC0641F0">
      <w:start w:val="8"/>
      <w:numFmt w:val="decimal"/>
      <w:lvlText w:val="(%1)"/>
      <w:lvlJc w:val="left"/>
      <w:pPr>
        <w:ind w:left="1080" w:hanging="360"/>
      </w:pPr>
      <w:rPr>
        <w:rFonts w:cs="Times New Roman"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70104E6"/>
    <w:multiLevelType w:val="hybridMultilevel"/>
    <w:tmpl w:val="43CA1D02"/>
    <w:lvl w:ilvl="0" w:tplc="08AC2F3C">
      <w:start w:val="1"/>
      <w:numFmt w:val="lowerRoman"/>
      <w:lvlText w:val="%1."/>
      <w:lvlJc w:val="right"/>
      <w:pPr>
        <w:ind w:left="1080" w:hanging="360"/>
      </w:pPr>
      <w:rPr>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4B1E10"/>
    <w:multiLevelType w:val="hybridMultilevel"/>
    <w:tmpl w:val="17DA5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11C6D"/>
    <w:multiLevelType w:val="hybridMultilevel"/>
    <w:tmpl w:val="817E1CD2"/>
    <w:lvl w:ilvl="0" w:tplc="08AC2F3C">
      <w:start w:val="1"/>
      <w:numFmt w:val="lowerRoman"/>
      <w:lvlText w:val="%1."/>
      <w:lvlJc w:val="right"/>
      <w:pPr>
        <w:ind w:left="1080" w:hanging="360"/>
      </w:pPr>
      <w:rPr>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D41775"/>
    <w:multiLevelType w:val="hybridMultilevel"/>
    <w:tmpl w:val="BCBC1436"/>
    <w:lvl w:ilvl="0" w:tplc="6086589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041164"/>
    <w:multiLevelType w:val="hybridMultilevel"/>
    <w:tmpl w:val="69E4A7A4"/>
    <w:lvl w:ilvl="0" w:tplc="0C160F3A">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791D27DE"/>
    <w:multiLevelType w:val="hybridMultilevel"/>
    <w:tmpl w:val="3FA869BA"/>
    <w:lvl w:ilvl="0" w:tplc="0068046C">
      <w:start w:val="1"/>
      <w:numFmt w:val="upperRoman"/>
      <w:pStyle w:val="Heading1"/>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8"/>
  </w:num>
  <w:num w:numId="4">
    <w:abstractNumId w:val="1"/>
  </w:num>
  <w:num w:numId="5">
    <w:abstractNumId w:val="0"/>
  </w:num>
  <w:num w:numId="6">
    <w:abstractNumId w:val="11"/>
  </w:num>
  <w:num w:numId="7">
    <w:abstractNumId w:val="3"/>
  </w:num>
  <w:num w:numId="8">
    <w:abstractNumId w:val="7"/>
  </w:num>
  <w:num w:numId="9">
    <w:abstractNumId w:val="4"/>
  </w:num>
  <w:num w:numId="10">
    <w:abstractNumId w:val="9"/>
  </w:num>
  <w:num w:numId="11">
    <w:abstractNumId w:val="5"/>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F05"/>
    <w:rsid w:val="000305D6"/>
    <w:rsid w:val="000375BA"/>
    <w:rsid w:val="000820CB"/>
    <w:rsid w:val="000D744F"/>
    <w:rsid w:val="000E7DEE"/>
    <w:rsid w:val="00112C70"/>
    <w:rsid w:val="00140125"/>
    <w:rsid w:val="00204B40"/>
    <w:rsid w:val="002143B9"/>
    <w:rsid w:val="002312AE"/>
    <w:rsid w:val="002666FB"/>
    <w:rsid w:val="002851F3"/>
    <w:rsid w:val="002B1A10"/>
    <w:rsid w:val="002E5C44"/>
    <w:rsid w:val="003119DD"/>
    <w:rsid w:val="00317518"/>
    <w:rsid w:val="00327652"/>
    <w:rsid w:val="0035327B"/>
    <w:rsid w:val="00354743"/>
    <w:rsid w:val="00392FC4"/>
    <w:rsid w:val="003C6C0C"/>
    <w:rsid w:val="003D7B47"/>
    <w:rsid w:val="003F71CE"/>
    <w:rsid w:val="0042644A"/>
    <w:rsid w:val="00431532"/>
    <w:rsid w:val="00443BAB"/>
    <w:rsid w:val="00451DDD"/>
    <w:rsid w:val="004E315B"/>
    <w:rsid w:val="005637A6"/>
    <w:rsid w:val="0057343E"/>
    <w:rsid w:val="00580542"/>
    <w:rsid w:val="00620F05"/>
    <w:rsid w:val="00635176"/>
    <w:rsid w:val="006D532B"/>
    <w:rsid w:val="007022FC"/>
    <w:rsid w:val="00710D2A"/>
    <w:rsid w:val="007110B3"/>
    <w:rsid w:val="007702F1"/>
    <w:rsid w:val="0077482D"/>
    <w:rsid w:val="00791EC1"/>
    <w:rsid w:val="007A0E21"/>
    <w:rsid w:val="00877A58"/>
    <w:rsid w:val="008B7434"/>
    <w:rsid w:val="008D7C3F"/>
    <w:rsid w:val="00913FFA"/>
    <w:rsid w:val="00954943"/>
    <w:rsid w:val="00986010"/>
    <w:rsid w:val="0098704A"/>
    <w:rsid w:val="009D185F"/>
    <w:rsid w:val="009E24C5"/>
    <w:rsid w:val="00A20B39"/>
    <w:rsid w:val="00A87579"/>
    <w:rsid w:val="00B221C7"/>
    <w:rsid w:val="00B573AC"/>
    <w:rsid w:val="00BF5417"/>
    <w:rsid w:val="00BF6DB4"/>
    <w:rsid w:val="00C07261"/>
    <w:rsid w:val="00C50880"/>
    <w:rsid w:val="00C71289"/>
    <w:rsid w:val="00C866A2"/>
    <w:rsid w:val="00CF2B99"/>
    <w:rsid w:val="00CF63F0"/>
    <w:rsid w:val="00D042A6"/>
    <w:rsid w:val="00D17A84"/>
    <w:rsid w:val="00D4604B"/>
    <w:rsid w:val="00D56FAA"/>
    <w:rsid w:val="00D77810"/>
    <w:rsid w:val="00DC1B50"/>
    <w:rsid w:val="00DC7935"/>
    <w:rsid w:val="00E20BA0"/>
    <w:rsid w:val="00EA267C"/>
    <w:rsid w:val="00EB20CF"/>
    <w:rsid w:val="00F676EB"/>
    <w:rsid w:val="00FB4F1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53E378-D154-8E40-A9BA-24662ABA9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FC4"/>
    <w:rPr>
      <w:rFonts w:ascii="Times New Roman" w:hAnsi="Times New Roman"/>
      <w:lang w:eastAsia="en-US"/>
    </w:rPr>
  </w:style>
  <w:style w:type="paragraph" w:styleId="Heading1">
    <w:name w:val="heading 1"/>
    <w:basedOn w:val="Normal"/>
    <w:next w:val="Normal"/>
    <w:link w:val="Heading1Char"/>
    <w:uiPriority w:val="9"/>
    <w:qFormat/>
    <w:rsid w:val="00392FC4"/>
    <w:pPr>
      <w:keepNext/>
      <w:keepLines/>
      <w:numPr>
        <w:numId w:val="2"/>
      </w:numPr>
      <w:ind w:hanging="181"/>
      <w:jc w:val="center"/>
      <w:outlineLvl w:val="0"/>
    </w:pPr>
    <w:rPr>
      <w:rFonts w:eastAsiaTheme="majorEastAsia" w:cstheme="majorBidi"/>
      <w:b/>
      <w:bCs/>
      <w:szCs w:val="32"/>
    </w:rPr>
  </w:style>
  <w:style w:type="paragraph" w:styleId="Heading2">
    <w:name w:val="heading 2"/>
    <w:basedOn w:val="Normal"/>
    <w:next w:val="Normal"/>
    <w:link w:val="Heading2Char"/>
    <w:uiPriority w:val="9"/>
    <w:unhideWhenUsed/>
    <w:qFormat/>
    <w:rsid w:val="00392FC4"/>
    <w:pPr>
      <w:keepNext/>
      <w:keepLines/>
      <w:spacing w:before="200"/>
      <w:outlineLvl w:val="1"/>
    </w:pPr>
    <w:rPr>
      <w:rFonts w:eastAsiaTheme="majorEastAsia" w:cstheme="majorBidi"/>
      <w:b/>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semiHidden/>
    <w:unhideWhenUsed/>
    <w:rsid w:val="00392FC4"/>
    <w:pPr>
      <w:spacing w:after="100"/>
    </w:pPr>
  </w:style>
  <w:style w:type="paragraph" w:customStyle="1" w:styleId="ChapterHeading">
    <w:name w:val="Chapter Heading"/>
    <w:basedOn w:val="TOC1"/>
    <w:next w:val="Normal"/>
    <w:qFormat/>
    <w:rsid w:val="00392FC4"/>
    <w:pPr>
      <w:numPr>
        <w:numId w:val="1"/>
      </w:numPr>
    </w:pPr>
    <w:rPr>
      <w:b/>
      <w:sz w:val="36"/>
    </w:rPr>
  </w:style>
  <w:style w:type="character" w:styleId="FollowedHyperlink">
    <w:name w:val="FollowedHyperlink"/>
    <w:basedOn w:val="DefaultParagraphFont"/>
    <w:uiPriority w:val="99"/>
    <w:semiHidden/>
    <w:unhideWhenUsed/>
    <w:rsid w:val="00392FC4"/>
    <w:rPr>
      <w:color w:val="954F72" w:themeColor="followedHyperlink"/>
      <w:u w:val="single"/>
    </w:rPr>
  </w:style>
  <w:style w:type="paragraph" w:styleId="Footer">
    <w:name w:val="footer"/>
    <w:basedOn w:val="Normal"/>
    <w:link w:val="FooterChar"/>
    <w:uiPriority w:val="99"/>
    <w:unhideWhenUsed/>
    <w:rsid w:val="00392FC4"/>
    <w:pPr>
      <w:tabs>
        <w:tab w:val="center" w:pos="4320"/>
        <w:tab w:val="right" w:pos="8640"/>
      </w:tabs>
    </w:pPr>
  </w:style>
  <w:style w:type="character" w:customStyle="1" w:styleId="FooterChar">
    <w:name w:val="Footer Char"/>
    <w:basedOn w:val="DefaultParagraphFont"/>
    <w:link w:val="Footer"/>
    <w:uiPriority w:val="99"/>
    <w:rsid w:val="00392FC4"/>
    <w:rPr>
      <w:rFonts w:ascii="Times New Roman" w:hAnsi="Times New Roman"/>
      <w:lang w:eastAsia="en-US"/>
    </w:rPr>
  </w:style>
  <w:style w:type="character" w:styleId="FootnoteReference">
    <w:name w:val="footnote reference"/>
    <w:basedOn w:val="DefaultParagraphFont"/>
    <w:uiPriority w:val="99"/>
    <w:unhideWhenUsed/>
    <w:rsid w:val="00392FC4"/>
    <w:rPr>
      <w:vertAlign w:val="superscript"/>
    </w:rPr>
  </w:style>
  <w:style w:type="paragraph" w:styleId="FootnoteText">
    <w:name w:val="footnote text"/>
    <w:basedOn w:val="Normal"/>
    <w:link w:val="FootnoteTextChar"/>
    <w:uiPriority w:val="99"/>
    <w:unhideWhenUsed/>
    <w:rsid w:val="00392FC4"/>
    <w:rPr>
      <w:sz w:val="20"/>
    </w:rPr>
  </w:style>
  <w:style w:type="character" w:customStyle="1" w:styleId="FootnoteTextChar">
    <w:name w:val="Footnote Text Char"/>
    <w:basedOn w:val="DefaultParagraphFont"/>
    <w:link w:val="FootnoteText"/>
    <w:uiPriority w:val="99"/>
    <w:rsid w:val="00392FC4"/>
    <w:rPr>
      <w:rFonts w:ascii="Times New Roman" w:hAnsi="Times New Roman"/>
      <w:sz w:val="20"/>
      <w:lang w:eastAsia="en-US"/>
    </w:rPr>
  </w:style>
  <w:style w:type="character" w:customStyle="1" w:styleId="Heading1Char">
    <w:name w:val="Heading 1 Char"/>
    <w:basedOn w:val="DefaultParagraphFont"/>
    <w:link w:val="Heading1"/>
    <w:uiPriority w:val="9"/>
    <w:rsid w:val="00392FC4"/>
    <w:rPr>
      <w:rFonts w:ascii="Times New Roman" w:eastAsiaTheme="majorEastAsia" w:hAnsi="Times New Roman" w:cstheme="majorBidi"/>
      <w:b/>
      <w:bCs/>
      <w:szCs w:val="32"/>
      <w:lang w:eastAsia="en-US"/>
    </w:rPr>
  </w:style>
  <w:style w:type="character" w:customStyle="1" w:styleId="Heading2Char">
    <w:name w:val="Heading 2 Char"/>
    <w:basedOn w:val="DefaultParagraphFont"/>
    <w:link w:val="Heading2"/>
    <w:uiPriority w:val="9"/>
    <w:rsid w:val="00392FC4"/>
    <w:rPr>
      <w:rFonts w:ascii="Times New Roman" w:eastAsiaTheme="majorEastAsia" w:hAnsi="Times New Roman" w:cstheme="majorBidi"/>
      <w:b/>
      <w:bCs/>
      <w:szCs w:val="26"/>
      <w:u w:val="single"/>
      <w:lang w:eastAsia="en-US"/>
    </w:rPr>
  </w:style>
  <w:style w:type="character" w:styleId="Hyperlink">
    <w:name w:val="Hyperlink"/>
    <w:basedOn w:val="DefaultParagraphFont"/>
    <w:uiPriority w:val="99"/>
    <w:unhideWhenUsed/>
    <w:rsid w:val="00392FC4"/>
    <w:rPr>
      <w:color w:val="0563C1" w:themeColor="hyperlink"/>
      <w:u w:val="single"/>
    </w:rPr>
  </w:style>
  <w:style w:type="paragraph" w:styleId="ListParagraph">
    <w:name w:val="List Paragraph"/>
    <w:basedOn w:val="Normal"/>
    <w:link w:val="ListParagraphChar"/>
    <w:uiPriority w:val="34"/>
    <w:qFormat/>
    <w:rsid w:val="00392FC4"/>
    <w:pPr>
      <w:ind w:left="720"/>
      <w:contextualSpacing/>
    </w:pPr>
  </w:style>
  <w:style w:type="character" w:styleId="PageNumber">
    <w:name w:val="page number"/>
    <w:basedOn w:val="DefaultParagraphFont"/>
    <w:uiPriority w:val="99"/>
    <w:semiHidden/>
    <w:unhideWhenUsed/>
    <w:rsid w:val="00392FC4"/>
  </w:style>
  <w:style w:type="character" w:customStyle="1" w:styleId="ListParagraphChar">
    <w:name w:val="List Paragraph Char"/>
    <w:basedOn w:val="DefaultParagraphFont"/>
    <w:link w:val="ListParagraph"/>
    <w:uiPriority w:val="34"/>
    <w:rsid w:val="00CF63F0"/>
    <w:rPr>
      <w:rFonts w:ascii="Times New Roman" w:hAnsi="Times New Roman"/>
      <w:lang w:eastAsia="en-US"/>
    </w:rPr>
  </w:style>
  <w:style w:type="character" w:customStyle="1" w:styleId="apple-converted-space">
    <w:name w:val="apple-converted-space"/>
    <w:basedOn w:val="DefaultParagraphFont"/>
    <w:rsid w:val="007022FC"/>
  </w:style>
  <w:style w:type="character" w:customStyle="1" w:styleId="coitalic">
    <w:name w:val="co_italic"/>
    <w:basedOn w:val="DefaultParagraphFont"/>
    <w:rsid w:val="007022FC"/>
  </w:style>
  <w:style w:type="paragraph" w:styleId="Header">
    <w:name w:val="header"/>
    <w:basedOn w:val="Normal"/>
    <w:link w:val="HeaderChar"/>
    <w:uiPriority w:val="99"/>
    <w:unhideWhenUsed/>
    <w:rsid w:val="00EB20CF"/>
    <w:pPr>
      <w:tabs>
        <w:tab w:val="center" w:pos="4513"/>
        <w:tab w:val="right" w:pos="9026"/>
      </w:tabs>
    </w:pPr>
  </w:style>
  <w:style w:type="character" w:customStyle="1" w:styleId="HeaderChar">
    <w:name w:val="Header Char"/>
    <w:basedOn w:val="DefaultParagraphFont"/>
    <w:link w:val="Header"/>
    <w:uiPriority w:val="99"/>
    <w:rsid w:val="00EB20C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5</Pages>
  <Words>5461</Words>
  <Characters>28180</Characters>
  <DocSecurity>0</DocSecurity>
  <Lines>599</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cp:coreProperties>
</file>